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285" w:rsidRDefault="009B2E28">
      <w:pPr>
        <w:pStyle w:val="a3"/>
        <w:jc w:val="right"/>
        <w:rPr>
          <w:sz w:val="28"/>
          <w:szCs w:val="28"/>
          <w:rtl/>
        </w:rPr>
      </w:pPr>
      <w:bookmarkStart w:id="0" w:name="_GoBack"/>
      <w:bookmarkEnd w:id="0"/>
      <w:r>
        <w:rPr>
          <w:rFonts w:hint="cs"/>
          <w:sz w:val="28"/>
          <w:szCs w:val="28"/>
          <w:rtl/>
        </w:rPr>
        <w:t>15.05.2023</w:t>
      </w:r>
    </w:p>
    <w:p w:rsidR="00694556" w:rsidRPr="0032390E" w:rsidRDefault="00694556">
      <w:pPr>
        <w:rPr>
          <w:sz w:val="28"/>
          <w:szCs w:val="28"/>
          <w:rtl/>
        </w:rPr>
      </w:pPr>
    </w:p>
    <w:p w:rsidR="001A70C2" w:rsidRDefault="001A70C2" w:rsidP="001A70C2">
      <w:pPr>
        <w:spacing w:line="360" w:lineRule="auto"/>
        <w:rPr>
          <w:b/>
          <w:bCs/>
          <w:sz w:val="28"/>
          <w:szCs w:val="28"/>
        </w:rPr>
      </w:pPr>
      <w:r>
        <w:rPr>
          <w:b/>
          <w:bCs/>
          <w:sz w:val="28"/>
          <w:szCs w:val="28"/>
          <w:rtl/>
        </w:rPr>
        <w:t xml:space="preserve">לפני: </w:t>
      </w:r>
    </w:p>
    <w:p w:rsidR="001A70C2" w:rsidRDefault="001A70C2" w:rsidP="001A70C2">
      <w:pPr>
        <w:spacing w:line="360" w:lineRule="auto"/>
        <w:rPr>
          <w:b/>
          <w:bCs/>
          <w:sz w:val="28"/>
          <w:szCs w:val="28"/>
          <w:rtl/>
        </w:rPr>
      </w:pPr>
      <w:r>
        <w:rPr>
          <w:b/>
          <w:bCs/>
          <w:sz w:val="28"/>
          <w:szCs w:val="28"/>
          <w:rtl/>
        </w:rPr>
        <w:t>כב' ה</w:t>
      </w:r>
      <w:sdt>
        <w:sdtPr>
          <w:rPr>
            <w:b/>
            <w:bCs/>
            <w:sz w:val="28"/>
            <w:szCs w:val="28"/>
            <w:rtl/>
          </w:rPr>
          <w:alias w:val="1574"/>
          <w:tag w:val="1574"/>
          <w:id w:val="635923429"/>
          <w:placeholder>
            <w:docPart w:val="004198136D0943E19EB4ED9240314F68"/>
          </w:placeholder>
          <w:text w:multiLine="1"/>
        </w:sdtPr>
        <w:sdtEndPr/>
        <w:sdtContent>
          <w:r>
            <w:rPr>
              <w:b/>
              <w:bCs/>
              <w:sz w:val="28"/>
              <w:szCs w:val="28"/>
              <w:rtl/>
            </w:rPr>
            <w:t>שופטת</w:t>
          </w:r>
        </w:sdtContent>
      </w:sdt>
      <w:r>
        <w:rPr>
          <w:b/>
          <w:bCs/>
          <w:sz w:val="28"/>
          <w:szCs w:val="28"/>
          <w:rtl/>
        </w:rPr>
        <w:t xml:space="preserve"> </w:t>
      </w:r>
      <w:sdt>
        <w:sdtPr>
          <w:rPr>
            <w:b/>
            <w:bCs/>
            <w:sz w:val="28"/>
            <w:szCs w:val="28"/>
            <w:rtl/>
          </w:rPr>
          <w:alias w:val="1573"/>
          <w:tag w:val="1573"/>
          <w:id w:val="1578632731"/>
          <w:placeholder>
            <w:docPart w:val="004198136D0943E19EB4ED9240314F68"/>
          </w:placeholder>
          <w:text w:multiLine="1"/>
        </w:sdtPr>
        <w:sdtEndPr/>
        <w:sdtContent>
          <w:r>
            <w:rPr>
              <w:b/>
              <w:bCs/>
              <w:sz w:val="28"/>
              <w:szCs w:val="28"/>
              <w:rtl/>
            </w:rPr>
            <w:t>סאוסן אלקאסם</w:t>
          </w:r>
        </w:sdtContent>
      </w:sdt>
      <w:r>
        <w:rPr>
          <w:b/>
          <w:bCs/>
          <w:sz w:val="28"/>
          <w:szCs w:val="28"/>
          <w:rtl/>
        </w:rPr>
        <w:t xml:space="preserve"> </w:t>
      </w:r>
    </w:p>
    <w:p w:rsidR="001A70C2" w:rsidRDefault="001A70C2" w:rsidP="001A70C2">
      <w:pPr>
        <w:spacing w:line="360" w:lineRule="auto"/>
        <w:rPr>
          <w:b/>
          <w:bCs/>
          <w:sz w:val="28"/>
          <w:szCs w:val="28"/>
          <w:rtl/>
        </w:rPr>
      </w:pPr>
      <w:r>
        <w:rPr>
          <w:b/>
          <w:bCs/>
          <w:sz w:val="28"/>
          <w:szCs w:val="28"/>
          <w:rtl/>
        </w:rPr>
        <w:t>נציגת ציבור (עובדים)  גב' סיגל רונן-כץ</w:t>
      </w:r>
    </w:p>
    <w:p w:rsidR="001A70C2" w:rsidRDefault="001A70C2" w:rsidP="001A70C2">
      <w:pPr>
        <w:spacing w:line="360" w:lineRule="auto"/>
        <w:rPr>
          <w:b/>
          <w:bCs/>
          <w:sz w:val="28"/>
          <w:szCs w:val="28"/>
          <w:rtl/>
        </w:rPr>
      </w:pPr>
      <w:r>
        <w:rPr>
          <w:b/>
          <w:bCs/>
          <w:sz w:val="28"/>
          <w:szCs w:val="28"/>
          <w:rtl/>
        </w:rPr>
        <w:t>נציג ציבור (מעסיקים)  מר אילן טל</w:t>
      </w:r>
      <w:r>
        <w:rPr>
          <w:b/>
          <w:bCs/>
          <w:sz w:val="28"/>
          <w:szCs w:val="28"/>
          <w:rtl/>
        </w:rPr>
        <w:br/>
      </w:r>
    </w:p>
    <w:tbl>
      <w:tblPr>
        <w:tblStyle w:val="aa"/>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96"/>
        <w:gridCol w:w="5406"/>
      </w:tblGrid>
      <w:tr w:rsidR="001A70C2" w:rsidTr="00081CCD">
        <w:trPr>
          <w:trHeight w:val="676"/>
        </w:trPr>
        <w:tc>
          <w:tcPr>
            <w:tcW w:w="3396" w:type="dxa"/>
            <w:tcMar>
              <w:top w:w="113" w:type="dxa"/>
              <w:left w:w="108" w:type="dxa"/>
              <w:bottom w:w="113" w:type="dxa"/>
              <w:right w:w="108" w:type="dxa"/>
            </w:tcMar>
            <w:hideMark/>
          </w:tcPr>
          <w:p w:rsidR="001A70C2" w:rsidRDefault="001A70C2">
            <w:pPr>
              <w:rPr>
                <w:rFonts w:ascii="David" w:eastAsia="David" w:hAnsi="David"/>
                <w:sz w:val="28"/>
                <w:szCs w:val="28"/>
                <w:u w:val="single"/>
                <w:rtl/>
              </w:rPr>
            </w:pPr>
            <w:r>
              <w:rPr>
                <w:b/>
                <w:bCs/>
                <w:sz w:val="28"/>
                <w:szCs w:val="28"/>
                <w:u w:val="single"/>
                <w:rtl/>
              </w:rPr>
              <w:t xml:space="preserve">המבקש:  </w:t>
            </w:r>
          </w:p>
        </w:tc>
        <w:tc>
          <w:tcPr>
            <w:tcW w:w="5406" w:type="dxa"/>
            <w:tcMar>
              <w:top w:w="113" w:type="dxa"/>
              <w:left w:w="108" w:type="dxa"/>
              <w:bottom w:w="113" w:type="dxa"/>
              <w:right w:w="108" w:type="dxa"/>
            </w:tcMar>
            <w:hideMark/>
          </w:tcPr>
          <w:p w:rsidR="001A70C2" w:rsidRDefault="00AA63B1" w:rsidP="00081CCD">
            <w:pPr>
              <w:rPr>
                <w:rFonts w:ascii="David" w:eastAsia="David" w:hAnsi="David"/>
                <w:b/>
                <w:bCs/>
                <w:sz w:val="28"/>
                <w:szCs w:val="28"/>
                <w:rtl/>
              </w:rPr>
            </w:pPr>
            <w:sdt>
              <w:sdtPr>
                <w:rPr>
                  <w:rFonts w:ascii="David" w:eastAsia="David" w:hAnsi="David"/>
                  <w:b/>
                  <w:bCs/>
                  <w:sz w:val="28"/>
                  <w:szCs w:val="28"/>
                  <w:rtl/>
                </w:rPr>
                <w:alias w:val="1486"/>
                <w:tag w:val="1486"/>
                <w:id w:val="-1982540255"/>
                <w:placeholder>
                  <w:docPart w:val="8055F8AC97704C93B0D638A980CC29CD"/>
                </w:placeholder>
                <w:text w:multiLine="1"/>
              </w:sdtPr>
              <w:sdtEndPr/>
              <w:sdtContent>
                <w:r w:rsidR="001A70C2">
                  <w:rPr>
                    <w:rFonts w:ascii="David" w:eastAsia="David" w:hAnsi="David"/>
                    <w:b/>
                    <w:bCs/>
                    <w:sz w:val="28"/>
                    <w:szCs w:val="28"/>
                    <w:rtl/>
                  </w:rPr>
                  <w:t>המוסד לביטוח לאומי</w:t>
                </w:r>
                <w:r w:rsidR="001A70C2">
                  <w:rPr>
                    <w:rFonts w:ascii="David" w:eastAsia="David" w:hAnsi="David"/>
                    <w:b/>
                    <w:bCs/>
                    <w:sz w:val="28"/>
                    <w:szCs w:val="28"/>
                    <w:rtl/>
                  </w:rPr>
                  <w:br/>
                  <w:t>ע"י ב"כ: עו"ד רונית סגל</w:t>
                </w:r>
                <w:r w:rsidR="001A70C2">
                  <w:rPr>
                    <w:rFonts w:ascii="David" w:eastAsia="David" w:hAnsi="David"/>
                    <w:b/>
                    <w:bCs/>
                    <w:sz w:val="28"/>
                    <w:szCs w:val="28"/>
                  </w:rPr>
                  <w:br/>
                </w:r>
              </w:sdtContent>
            </w:sdt>
            <w:r w:rsidR="00081CCD">
              <w:rPr>
                <w:rFonts w:ascii="David" w:eastAsia="David" w:hAnsi="David"/>
                <w:b/>
                <w:bCs/>
                <w:sz w:val="28"/>
                <w:szCs w:val="28"/>
                <w:rtl/>
              </w:rPr>
              <w:t xml:space="preserve"> </w:t>
            </w:r>
          </w:p>
        </w:tc>
      </w:tr>
      <w:tr w:rsidR="001A70C2" w:rsidTr="00081CCD">
        <w:trPr>
          <w:trHeight w:val="325"/>
        </w:trPr>
        <w:tc>
          <w:tcPr>
            <w:tcW w:w="3396" w:type="dxa"/>
            <w:tcMar>
              <w:top w:w="113" w:type="dxa"/>
              <w:left w:w="108" w:type="dxa"/>
              <w:bottom w:w="113" w:type="dxa"/>
              <w:right w:w="108" w:type="dxa"/>
            </w:tcMar>
          </w:tcPr>
          <w:p w:rsidR="001A70C2" w:rsidRDefault="001A70C2">
            <w:pPr>
              <w:jc w:val="right"/>
              <w:rPr>
                <w:b/>
                <w:bCs/>
                <w:sz w:val="28"/>
                <w:szCs w:val="28"/>
                <w:u w:val="single"/>
              </w:rPr>
            </w:pPr>
          </w:p>
        </w:tc>
        <w:tc>
          <w:tcPr>
            <w:tcW w:w="5406" w:type="dxa"/>
            <w:tcMar>
              <w:top w:w="113" w:type="dxa"/>
              <w:left w:w="108" w:type="dxa"/>
              <w:bottom w:w="113" w:type="dxa"/>
              <w:right w:w="108" w:type="dxa"/>
            </w:tcMar>
          </w:tcPr>
          <w:p w:rsidR="001A70C2" w:rsidRDefault="001A70C2" w:rsidP="00081CCD">
            <w:pPr>
              <w:pStyle w:val="af"/>
              <w:numPr>
                <w:ilvl w:val="0"/>
                <w:numId w:val="1"/>
              </w:numPr>
              <w:rPr>
                <w:rFonts w:ascii="David" w:eastAsia="David" w:hAnsi="David"/>
                <w:b/>
                <w:bCs/>
                <w:sz w:val="28"/>
                <w:szCs w:val="28"/>
                <w:rtl/>
              </w:rPr>
            </w:pPr>
          </w:p>
        </w:tc>
      </w:tr>
      <w:tr w:rsidR="001A70C2" w:rsidTr="00081CCD">
        <w:trPr>
          <w:trHeight w:val="758"/>
        </w:trPr>
        <w:tc>
          <w:tcPr>
            <w:tcW w:w="3396" w:type="dxa"/>
            <w:tcMar>
              <w:top w:w="113" w:type="dxa"/>
              <w:left w:w="108" w:type="dxa"/>
              <w:bottom w:w="113" w:type="dxa"/>
              <w:right w:w="108" w:type="dxa"/>
            </w:tcMar>
            <w:hideMark/>
          </w:tcPr>
          <w:p w:rsidR="001A70C2" w:rsidRDefault="001A70C2">
            <w:pPr>
              <w:spacing w:line="360" w:lineRule="auto"/>
              <w:jc w:val="both"/>
              <w:rPr>
                <w:rFonts w:ascii="David" w:eastAsia="David" w:hAnsi="David"/>
                <w:b/>
                <w:bCs/>
                <w:sz w:val="28"/>
                <w:szCs w:val="28"/>
              </w:rPr>
            </w:pPr>
            <w:r>
              <w:rPr>
                <w:b/>
                <w:bCs/>
                <w:sz w:val="28"/>
                <w:szCs w:val="28"/>
                <w:u w:val="single"/>
                <w:rtl/>
              </w:rPr>
              <w:t>המשיבה:</w:t>
            </w:r>
            <w:r>
              <w:rPr>
                <w:rFonts w:ascii="David" w:eastAsia="David" w:hAnsi="David"/>
                <w:b/>
                <w:bCs/>
                <w:sz w:val="28"/>
                <w:szCs w:val="28"/>
                <w:rtl/>
              </w:rPr>
              <w:t xml:space="preserve">  </w:t>
            </w:r>
          </w:p>
        </w:tc>
        <w:tc>
          <w:tcPr>
            <w:tcW w:w="5406" w:type="dxa"/>
            <w:tcMar>
              <w:top w:w="113" w:type="dxa"/>
              <w:left w:w="108" w:type="dxa"/>
              <w:bottom w:w="113" w:type="dxa"/>
              <w:right w:w="108" w:type="dxa"/>
            </w:tcMar>
            <w:hideMark/>
          </w:tcPr>
          <w:p w:rsidR="001A70C2" w:rsidRDefault="001A70C2">
            <w:pPr>
              <w:rPr>
                <w:rFonts w:ascii="David" w:eastAsia="David" w:hAnsi="David"/>
                <w:b/>
                <w:bCs/>
                <w:sz w:val="28"/>
                <w:szCs w:val="28"/>
                <w:rtl/>
              </w:rPr>
            </w:pPr>
            <w:r>
              <w:rPr>
                <w:rFonts w:ascii="David" w:eastAsia="David" w:hAnsi="David"/>
                <w:b/>
                <w:bCs/>
                <w:sz w:val="28"/>
                <w:szCs w:val="28"/>
                <w:rtl/>
              </w:rPr>
              <w:t>פלונית</w:t>
            </w:r>
          </w:p>
          <w:p w:rsidR="001A70C2" w:rsidRDefault="001A70C2">
            <w:pPr>
              <w:rPr>
                <w:rFonts w:ascii="David" w:eastAsia="David" w:hAnsi="David"/>
                <w:b/>
                <w:bCs/>
                <w:sz w:val="28"/>
                <w:szCs w:val="28"/>
                <w:u w:val="single"/>
                <w:rtl/>
              </w:rPr>
            </w:pPr>
            <w:r>
              <w:rPr>
                <w:rFonts w:ascii="David" w:eastAsia="David" w:hAnsi="David"/>
                <w:b/>
                <w:bCs/>
                <w:sz w:val="28"/>
                <w:szCs w:val="28"/>
                <w:rtl/>
              </w:rPr>
              <w:t>ע"י ב"כ: עו"ד ליליה גל פישמן-דורון</w:t>
            </w:r>
          </w:p>
        </w:tc>
      </w:tr>
    </w:tbl>
    <w:p w:rsidR="009B2E28" w:rsidRDefault="001A70C2" w:rsidP="001A70C2">
      <w:pPr>
        <w:spacing w:before="360" w:after="360" w:line="360" w:lineRule="auto"/>
        <w:jc w:val="center"/>
        <w:rPr>
          <w:rFonts w:ascii="David" w:hAnsi="David"/>
          <w:b/>
          <w:bCs/>
          <w:sz w:val="32"/>
          <w:szCs w:val="32"/>
          <w:u w:val="single"/>
          <w:rtl/>
        </w:rPr>
      </w:pPr>
      <w:r>
        <w:rPr>
          <w:rFonts w:ascii="David" w:hAnsi="David"/>
          <w:b/>
          <w:bCs/>
          <w:sz w:val="32"/>
          <w:szCs w:val="32"/>
          <w:u w:val="single"/>
          <w:rtl/>
        </w:rPr>
        <w:t>פסק דין</w:t>
      </w:r>
    </w:p>
    <w:p w:rsidR="001A70C2" w:rsidRPr="009B2E28" w:rsidRDefault="009B2E28" w:rsidP="001A70C2">
      <w:pPr>
        <w:spacing w:before="360" w:after="360" w:line="360" w:lineRule="auto"/>
        <w:jc w:val="center"/>
        <w:rPr>
          <w:rFonts w:ascii="David" w:hAnsi="David"/>
          <w:sz w:val="32"/>
          <w:szCs w:val="32"/>
          <w:u w:val="single"/>
        </w:rPr>
      </w:pPr>
      <w:r w:rsidRPr="009B2E28">
        <w:rPr>
          <w:rFonts w:ascii="David" w:hAnsi="David" w:hint="cs"/>
          <w:sz w:val="32"/>
          <w:szCs w:val="32"/>
          <w:u w:val="single"/>
          <w:rtl/>
        </w:rPr>
        <w:t>(נוסח מותר לפרסום לפי החלטה מיום 11.6.2023)</w:t>
      </w:r>
    </w:p>
    <w:p w:rsidR="001A70C2" w:rsidRDefault="001A70C2" w:rsidP="001A70C2">
      <w:pPr>
        <w:spacing w:before="240" w:after="240" w:line="336" w:lineRule="auto"/>
        <w:jc w:val="both"/>
        <w:rPr>
          <w:rFonts w:ascii="David" w:hAnsi="David"/>
          <w:sz w:val="28"/>
          <w:szCs w:val="28"/>
          <w:rtl/>
        </w:rPr>
      </w:pPr>
      <w:r>
        <w:rPr>
          <w:rFonts w:ascii="David" w:hAnsi="David"/>
          <w:sz w:val="28"/>
          <w:szCs w:val="28"/>
          <w:rtl/>
        </w:rPr>
        <w:t xml:space="preserve">מונחת לפנינו </w:t>
      </w:r>
      <w:bookmarkStart w:id="1" w:name="ABSTRACT_START"/>
      <w:bookmarkEnd w:id="1"/>
      <w:r>
        <w:rPr>
          <w:rFonts w:ascii="David" w:hAnsi="David"/>
          <w:sz w:val="28"/>
          <w:szCs w:val="28"/>
          <w:rtl/>
        </w:rPr>
        <w:t>בקשת הנתבע (המבקש) לסילוק התביעה על הסף מחמת מעשה בית דין.</w:t>
      </w:r>
    </w:p>
    <w:p w:rsidR="001A70C2" w:rsidRDefault="001A70C2" w:rsidP="001A70C2">
      <w:pPr>
        <w:spacing w:before="240" w:after="240" w:line="336" w:lineRule="auto"/>
        <w:jc w:val="both"/>
        <w:rPr>
          <w:rFonts w:ascii="David" w:hAnsi="David"/>
          <w:b/>
          <w:bCs/>
          <w:sz w:val="28"/>
          <w:szCs w:val="28"/>
        </w:rPr>
      </w:pPr>
      <w:r>
        <w:rPr>
          <w:rFonts w:ascii="David" w:hAnsi="David"/>
          <w:b/>
          <w:bCs/>
          <w:sz w:val="28"/>
          <w:szCs w:val="28"/>
          <w:rtl/>
        </w:rPr>
        <w:t>רקע:</w:t>
      </w:r>
    </w:p>
    <w:p w:rsidR="001A70C2" w:rsidRDefault="001A70C2" w:rsidP="00506DCB">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 xml:space="preserve">ביום </w:t>
      </w:r>
      <w:r w:rsidR="00506DCB">
        <w:rPr>
          <w:rFonts w:ascii="David" w:hAnsi="David" w:hint="cs"/>
          <w:sz w:val="28"/>
          <w:szCs w:val="28"/>
          <w:rtl/>
        </w:rPr>
        <w:t xml:space="preserve"> </w:t>
      </w:r>
      <w:r w:rsidR="00506DCB">
        <w:rPr>
          <w:rFonts w:ascii="David" w:hAnsi="David" w:hint="cs"/>
          <w:sz w:val="28"/>
          <w:szCs w:val="28"/>
        </w:rPr>
        <w:t>XXX</w:t>
      </w:r>
      <w:r w:rsidR="00506DCB">
        <w:rPr>
          <w:rFonts w:ascii="David" w:hAnsi="David" w:hint="cs"/>
          <w:sz w:val="28"/>
          <w:szCs w:val="28"/>
          <w:rtl/>
        </w:rPr>
        <w:t xml:space="preserve"> </w:t>
      </w:r>
      <w:r>
        <w:rPr>
          <w:rFonts w:ascii="David" w:hAnsi="David"/>
          <w:sz w:val="28"/>
          <w:szCs w:val="28"/>
          <w:rtl/>
        </w:rPr>
        <w:t>נפטר פלוני (להלן: "</w:t>
      </w:r>
      <w:r>
        <w:rPr>
          <w:rFonts w:ascii="David" w:hAnsi="David"/>
          <w:b/>
          <w:bCs/>
          <w:sz w:val="28"/>
          <w:szCs w:val="28"/>
          <w:rtl/>
        </w:rPr>
        <w:t>המנוח</w:t>
      </w:r>
      <w:r>
        <w:rPr>
          <w:rFonts w:ascii="David" w:hAnsi="David"/>
          <w:sz w:val="28"/>
          <w:szCs w:val="28"/>
          <w:rtl/>
        </w:rPr>
        <w:t>").</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לאחר מותו הגישה המשיבה תביעה לקבלת גמלת שאירים מכוחו של המנוח.</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 xml:space="preserve">המבקש דחה את התביעה כאמור.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המשיבה הגישה תביעה לבית הדין בגין דחיית תביעתה (תיק ב"ל </w:t>
      </w:r>
      <w:r>
        <w:rPr>
          <w:rFonts w:ascii="David" w:hAnsi="David"/>
          <w:sz w:val="28"/>
          <w:szCs w:val="28"/>
        </w:rPr>
        <w:t>XXX</w:t>
      </w:r>
      <w:r>
        <w:rPr>
          <w:rFonts w:ascii="David" w:hAnsi="David"/>
          <w:sz w:val="28"/>
          <w:szCs w:val="28"/>
          <w:rtl/>
        </w:rPr>
        <w:t>). ביום 15.10.2017, דחה בית הדין האזורי את התביעה וקבע כי לא התקיימו במשיבה התנאים המזכים בגמלת שאירים (להלן: "</w:t>
      </w:r>
      <w:r>
        <w:rPr>
          <w:rFonts w:ascii="David" w:hAnsi="David"/>
          <w:b/>
          <w:bCs/>
          <w:sz w:val="28"/>
          <w:szCs w:val="28"/>
          <w:rtl/>
        </w:rPr>
        <w:t>פסק הדין באזורי</w:t>
      </w:r>
      <w:r>
        <w:rPr>
          <w:rFonts w:ascii="David" w:hAnsi="David"/>
          <w:sz w:val="28"/>
          <w:szCs w:val="28"/>
          <w:rtl/>
        </w:rPr>
        <w:t xml:space="preserve">").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על פסק דין זה ערערה המשיבה (עב"ל </w:t>
      </w:r>
      <w:r>
        <w:rPr>
          <w:rFonts w:ascii="David" w:hAnsi="David"/>
          <w:sz w:val="28"/>
          <w:szCs w:val="28"/>
        </w:rPr>
        <w:t>XXX</w:t>
      </w:r>
      <w:r>
        <w:rPr>
          <w:rFonts w:ascii="David" w:hAnsi="David"/>
          <w:sz w:val="28"/>
          <w:szCs w:val="28"/>
          <w:rtl/>
        </w:rPr>
        <w:t>), ביום 28.12.2018 דחה בית הדין הארצי את הערעור (להלן: "</w:t>
      </w:r>
      <w:r>
        <w:rPr>
          <w:rFonts w:ascii="David" w:hAnsi="David"/>
          <w:b/>
          <w:bCs/>
          <w:sz w:val="28"/>
          <w:szCs w:val="28"/>
          <w:rtl/>
        </w:rPr>
        <w:t>פסק הדין בערעור</w:t>
      </w:r>
      <w:r>
        <w:rPr>
          <w:rFonts w:ascii="David" w:hAnsi="David"/>
          <w:sz w:val="28"/>
          <w:szCs w:val="28"/>
          <w:rtl/>
        </w:rPr>
        <w:t xml:space="preserve">").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lastRenderedPageBreak/>
        <w:t xml:space="preserve">ביום 26.01.2021 הגישה המשיבה למבקש תביעה חדשה לגמלת שאירים, בה טענה לזכאות לגמלה מכוח היותה אלמנת המנוח שהייתה נשואה לו בחייו.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ביום 04.07.2021 הודיע המבקש למשיבה כי אין שינוי בהחלטתו. החלטתו בעינה עומדת בהתאם להחלטת המשרד הראשי ובית הדין לעבודה. כלומר, ההחלטות הקודמות מיוני 2014 ופסיקת בתי הדין לעבודה.</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ביום 21.12.2021 הגישה המשיבה תביעה זו, הנתבעת צירפה לכתב התביעה תמצית רישום ממשרד הפנים מיום </w:t>
      </w:r>
      <w:r>
        <w:rPr>
          <w:rFonts w:ascii="David" w:hAnsi="David"/>
          <w:sz w:val="28"/>
          <w:szCs w:val="28"/>
        </w:rPr>
        <w:t>XXX</w:t>
      </w:r>
      <w:r>
        <w:rPr>
          <w:rFonts w:ascii="David" w:hAnsi="David"/>
          <w:sz w:val="28"/>
          <w:szCs w:val="28"/>
          <w:rtl/>
        </w:rPr>
        <w:t xml:space="preserve">, לפיו שונה מצבה האישי לאלמנה החל מיום 10.07.2019 (נספח 2 לכתב התביעה). </w:t>
      </w:r>
    </w:p>
    <w:p w:rsidR="001A70C2" w:rsidRDefault="001A70C2" w:rsidP="00696B06">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המבקש הגיש כתב הגנה ובקשה לסילוק התביעה על הסף בשל מעשה בית דין</w:t>
      </w:r>
      <w:r>
        <w:rPr>
          <w:rFonts w:ascii="David" w:hAnsi="David"/>
          <w:color w:val="000000"/>
          <w:sz w:val="28"/>
          <w:szCs w:val="28"/>
          <w:rtl/>
        </w:rPr>
        <w:t>, השתק עילה, השתק פלוגתה וטענת השתק, טענת מניעות כללית והתיישנות.</w:t>
      </w:r>
      <w:r>
        <w:rPr>
          <w:rFonts w:ascii="David" w:hAnsi="David"/>
          <w:sz w:val="28"/>
          <w:szCs w:val="28"/>
          <w:rtl/>
        </w:rPr>
        <w:t xml:space="preserve"> המבקש צירף עותק החלטה מיום </w:t>
      </w:r>
      <w:r>
        <w:rPr>
          <w:rFonts w:ascii="David" w:hAnsi="David"/>
          <w:sz w:val="28"/>
          <w:szCs w:val="28"/>
        </w:rPr>
        <w:t>XXX</w:t>
      </w:r>
      <w:r>
        <w:rPr>
          <w:rFonts w:ascii="David" w:hAnsi="David"/>
          <w:sz w:val="28"/>
          <w:szCs w:val="28"/>
          <w:rtl/>
        </w:rPr>
        <w:t xml:space="preserve"> של בית הדין הרבני האזורי בתל אביב, שהגישה לו המשיבה, המאשרת כי המשיבה נישאה למנוח ביום </w:t>
      </w:r>
      <w:r w:rsidR="00696B06">
        <w:rPr>
          <w:rFonts w:ascii="David" w:hAnsi="David" w:hint="cs"/>
          <w:sz w:val="28"/>
          <w:szCs w:val="28"/>
        </w:rPr>
        <w:t>XX</w:t>
      </w:r>
      <w:r>
        <w:rPr>
          <w:rFonts w:ascii="David" w:hAnsi="David"/>
          <w:sz w:val="28"/>
          <w:szCs w:val="28"/>
          <w:rtl/>
        </w:rPr>
        <w:t>.</w:t>
      </w:r>
      <w:r w:rsidR="00696B06">
        <w:rPr>
          <w:rFonts w:ascii="David" w:hAnsi="David" w:hint="cs"/>
          <w:sz w:val="28"/>
          <w:szCs w:val="28"/>
        </w:rPr>
        <w:t>XX</w:t>
      </w:r>
      <w:r>
        <w:rPr>
          <w:rFonts w:ascii="David" w:hAnsi="David"/>
          <w:sz w:val="28"/>
          <w:szCs w:val="28"/>
          <w:rtl/>
        </w:rPr>
        <w:t>.1992 וכי היא אלמנת המנוח ממועד פטירתו.</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יש לציין כי המשיבה לא צירפה החלטת בית הדין הרבני לכתב התביעה מטעמה, וכי תמצית הרישום ממשרד הפנים הוצאה קודם לתאריך מתן ההחלטה בבית הדין הרבני.</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לאחר קיום דיון מוקדם, הועבר התיק להוכחות בשאלת ההתיישנות, השתק פלוגתה, השתק עילה ואם נדחתה התביעה בדין.</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המשיבה הגישה תצהיריה. ביום 30.01.2023 התקיים דיון נוסף שבו עמד המבקש על בקשתו להכריע קודם בשאלת הסילוק על הסף. לאחר הדיון הגישו הצדדים התייחסויותיהם לעניין זה בכתב, והתיק הועבר למתן החלטה.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בבואנו ליתן החלטה בבקשה, סברנו כי מן הראוי לעיין במלוא התיקים המשפטיים בהליכים הקודמים. בהחלטה מיום 31.3.2023 נתבקשה עמדת הצדדים לעיון בית הדין במלוא התיקים בהליכים הקודמים. הצדדים הודיעו על הסכמתם.    </w:t>
      </w:r>
    </w:p>
    <w:p w:rsidR="001A70C2" w:rsidRDefault="001A70C2" w:rsidP="001A70C2">
      <w:pPr>
        <w:spacing w:before="240" w:after="240" w:line="336" w:lineRule="auto"/>
        <w:ind w:right="284"/>
        <w:jc w:val="both"/>
        <w:rPr>
          <w:rFonts w:ascii="David" w:hAnsi="David"/>
          <w:b/>
          <w:bCs/>
          <w:sz w:val="28"/>
          <w:szCs w:val="28"/>
        </w:rPr>
      </w:pPr>
      <w:r>
        <w:rPr>
          <w:rFonts w:ascii="David" w:hAnsi="David"/>
          <w:b/>
          <w:bCs/>
          <w:sz w:val="28"/>
          <w:szCs w:val="28"/>
          <w:rtl/>
        </w:rPr>
        <w:t>טענות הצדדים:</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lastRenderedPageBreak/>
        <w:t>לטענת המבקש, עילת התביעה לזכאות המשיבה לגמלת שאירים נדונה והוכרעה בהליכים הקודמים; הפלוגתה שעל הפרק בתביעה דנן היא – אם הייתה המשיבה בת זוגו של המנוח בעת פטירתו בהתאם להוראות החוק. זו הוכרעה בפסק הדין האזורי ובערעור, ולכן נוצר מעשה בית דין בעניין הפלוגתה ואין לדון בה פעם נוספת (ושלישית) והמשיבה מושתקת בעניין זה; המבקש מכחיש הסתמכות המשיבה על מכתבו מיום 18.07.2021, טוען כי המכתב שהוצג בתביעה מזויף, ומפנה להחלטתו מיום 04.07.2021 (נספח ד לכתב ההגנה). משכך, טוען המבקש להתיישנות.</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מנגד טוענת המשיבה כי אין מדובר במעשה בית דין (בין אם השתק עילה או פלוגתה) היות ובהליכים הקודמים ההתמקדות הייתה בשאלת היותה ידועה בציבור של המנוח. בתביעה הנוכחית הפלוגתה היא היותה אלמנתו של המנוח, לפי החלטת בית הדין הרבני, שהוא המוסמך לעניין נישואין וגירושין. ההחלטות הקודמות שניתנו לעניין מעמדה האישי של המשיבה ואי היותה ידועה בציבור של המנוח (פסק הדין באזורי ובערעור) ניתנו בחוסר סמכות. עוד עומדת בתוקף על טענתה כי מכתבי הדחייה בגינם הגישה התביעה הינם מהתאריכים 04.07.2021 ו- 18.07.2021, ולכן לא חלה התיישנות.</w:t>
      </w:r>
    </w:p>
    <w:p w:rsidR="001A70C2" w:rsidRDefault="001A70C2" w:rsidP="001A70C2">
      <w:pPr>
        <w:pStyle w:val="af"/>
        <w:spacing w:before="240" w:after="240" w:line="336" w:lineRule="auto"/>
        <w:ind w:left="567" w:right="284"/>
        <w:contextualSpacing w:val="0"/>
        <w:jc w:val="center"/>
        <w:rPr>
          <w:rFonts w:ascii="David" w:hAnsi="David"/>
          <w:b/>
          <w:bCs/>
          <w:sz w:val="28"/>
          <w:szCs w:val="28"/>
        </w:rPr>
      </w:pPr>
      <w:r>
        <w:rPr>
          <w:rFonts w:ascii="David" w:hAnsi="David"/>
          <w:b/>
          <w:bCs/>
          <w:sz w:val="28"/>
          <w:szCs w:val="28"/>
          <w:rtl/>
        </w:rPr>
        <w:t>דיון והכרעה</w:t>
      </w:r>
    </w:p>
    <w:p w:rsidR="001A70C2" w:rsidRDefault="001A70C2" w:rsidP="001A70C2">
      <w:pPr>
        <w:spacing w:before="240" w:after="240" w:line="336" w:lineRule="auto"/>
        <w:jc w:val="both"/>
        <w:rPr>
          <w:rFonts w:ascii="David" w:hAnsi="David"/>
          <w:b/>
          <w:bCs/>
          <w:noProof w:val="0"/>
          <w:sz w:val="28"/>
          <w:szCs w:val="28"/>
        </w:rPr>
      </w:pPr>
      <w:r>
        <w:rPr>
          <w:rFonts w:ascii="David" w:hAnsi="David"/>
          <w:b/>
          <w:bCs/>
          <w:sz w:val="28"/>
          <w:szCs w:val="28"/>
          <w:rtl/>
        </w:rPr>
        <w:t>רקע משפטי – סילוק על הסף:</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תקנות 44 ו-45 לתקנות בית הדין לעבודה (סדרי דין), תשנ"ב-1991, מסמיכות את בית הדין למחוק או לדחות תביעה על הסף. סילוק על הסף הינו סעד קיצוני, הניתן במשורה ובמקרים חריגים מאוד, העדיפות היא לברר התובענה ולפתור המחלוקת לגופה על פני סילוקה על הסף – ראו בר"ע (ארצי) 59941-11-14 </w:t>
      </w:r>
      <w:r>
        <w:rPr>
          <w:rFonts w:ascii="David" w:hAnsi="David"/>
          <w:b/>
          <w:bCs/>
          <w:sz w:val="28"/>
          <w:szCs w:val="28"/>
          <w:rtl/>
        </w:rPr>
        <w:t>אטורה תעשיות בע"מ – שיטרית</w:t>
      </w:r>
      <w:r>
        <w:rPr>
          <w:rFonts w:ascii="David" w:hAnsi="David"/>
          <w:sz w:val="28"/>
          <w:szCs w:val="28"/>
          <w:rtl/>
        </w:rPr>
        <w:t xml:space="preserve"> (19.10.15).</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color w:val="000000"/>
          <w:sz w:val="28"/>
          <w:szCs w:val="28"/>
          <w:rtl/>
        </w:rPr>
        <w:t>נעמוד על האבחנות בין טענות המבקש ונפנה לדיון והכרעה בסוגיה עצמה:</w:t>
      </w:r>
    </w:p>
    <w:p w:rsidR="001A70C2" w:rsidRDefault="001A70C2" w:rsidP="001A70C2">
      <w:pPr>
        <w:pStyle w:val="a3"/>
        <w:numPr>
          <w:ilvl w:val="0"/>
          <w:numId w:val="2"/>
        </w:numPr>
        <w:tabs>
          <w:tab w:val="left" w:pos="720"/>
        </w:tabs>
        <w:spacing w:before="240" w:after="240" w:line="336" w:lineRule="auto"/>
        <w:ind w:left="567" w:right="284" w:hanging="567"/>
        <w:jc w:val="both"/>
        <w:rPr>
          <w:rFonts w:ascii="David" w:hAnsi="David"/>
          <w:color w:val="000000"/>
          <w:sz w:val="28"/>
          <w:szCs w:val="28"/>
        </w:rPr>
      </w:pPr>
      <w:r>
        <w:rPr>
          <w:rFonts w:ascii="David" w:hAnsi="David"/>
          <w:b/>
          <w:bCs/>
          <w:color w:val="000000"/>
          <w:sz w:val="28"/>
          <w:szCs w:val="28"/>
          <w:u w:val="single"/>
          <w:rtl/>
        </w:rPr>
        <w:t>מעשה בית דין</w:t>
      </w:r>
      <w:r>
        <w:rPr>
          <w:rFonts w:ascii="David" w:hAnsi="David"/>
          <w:color w:val="000000"/>
          <w:sz w:val="28"/>
          <w:szCs w:val="28"/>
          <w:rtl/>
        </w:rPr>
        <w:t xml:space="preserve"> – "הכלל הנוגע למעשה בית דין קובע, בין היתר, כי אם תביעה נדונה לגופה והוכרעה לא ייזקק בית המשפט לתביעה נוספת בין אותם צדדים או חליפיהם".</w:t>
      </w:r>
      <w:r>
        <w:rPr>
          <w:rStyle w:val="af0"/>
          <w:rFonts w:ascii="David" w:hAnsi="David"/>
          <w:color w:val="000000"/>
          <w:sz w:val="28"/>
          <w:szCs w:val="28"/>
          <w:rtl/>
        </w:rPr>
        <w:footnoteReference w:id="1"/>
      </w:r>
      <w:r>
        <w:rPr>
          <w:rFonts w:ascii="David" w:hAnsi="David"/>
          <w:color w:val="000000"/>
          <w:sz w:val="28"/>
          <w:szCs w:val="28"/>
          <w:rtl/>
        </w:rPr>
        <w:t xml:space="preserve"> היינו, אם נקבע כי לגבי עניין מסוים נוצר מעשה בית דין – בעל </w:t>
      </w:r>
      <w:r>
        <w:rPr>
          <w:rFonts w:ascii="David" w:hAnsi="David"/>
          <w:color w:val="000000"/>
          <w:sz w:val="28"/>
          <w:szCs w:val="28"/>
          <w:rtl/>
        </w:rPr>
        <w:lastRenderedPageBreak/>
        <w:t xml:space="preserve">הדין לא יוכל להעלותו שוב. בענייננו, נטען כי נוצר 'מעשה בית דין' על בסיס 'השתק עילה' או 'השתק פלוגתה'. </w:t>
      </w:r>
    </w:p>
    <w:p w:rsidR="001A70C2" w:rsidRDefault="001A70C2" w:rsidP="001A70C2">
      <w:pPr>
        <w:pStyle w:val="a3"/>
        <w:spacing w:before="240" w:after="240" w:line="336" w:lineRule="auto"/>
        <w:ind w:left="567"/>
        <w:jc w:val="both"/>
        <w:rPr>
          <w:rFonts w:ascii="David" w:hAnsi="David"/>
          <w:color w:val="000000"/>
          <w:sz w:val="28"/>
          <w:szCs w:val="28"/>
        </w:rPr>
      </w:pPr>
      <w:r>
        <w:rPr>
          <w:rFonts w:ascii="David" w:hAnsi="David"/>
          <w:color w:val="000000"/>
          <w:sz w:val="28"/>
          <w:szCs w:val="28"/>
          <w:u w:val="single"/>
          <w:rtl/>
        </w:rPr>
        <w:t>נבחין בין השניים</w:t>
      </w:r>
      <w:r>
        <w:rPr>
          <w:rFonts w:ascii="David" w:hAnsi="David"/>
          <w:color w:val="000000"/>
          <w:sz w:val="28"/>
          <w:szCs w:val="28"/>
          <w:rtl/>
        </w:rPr>
        <w:t>:</w:t>
      </w:r>
    </w:p>
    <w:p w:rsidR="001A70C2" w:rsidRDefault="001A70C2" w:rsidP="001A70C2">
      <w:pPr>
        <w:pStyle w:val="a3"/>
        <w:numPr>
          <w:ilvl w:val="1"/>
          <w:numId w:val="2"/>
        </w:numPr>
        <w:tabs>
          <w:tab w:val="left" w:pos="720"/>
        </w:tabs>
        <w:spacing w:before="240" w:after="240" w:line="336" w:lineRule="auto"/>
        <w:ind w:left="1134" w:right="567" w:hanging="774"/>
        <w:jc w:val="both"/>
        <w:rPr>
          <w:rFonts w:ascii="David" w:hAnsi="David"/>
          <w:color w:val="000000"/>
          <w:sz w:val="28"/>
          <w:szCs w:val="28"/>
          <w:rtl/>
        </w:rPr>
      </w:pPr>
      <w:r>
        <w:rPr>
          <w:rFonts w:ascii="David" w:hAnsi="David"/>
          <w:b/>
          <w:bCs/>
          <w:color w:val="000000"/>
          <w:sz w:val="28"/>
          <w:szCs w:val="28"/>
          <w:u w:val="single"/>
          <w:rtl/>
        </w:rPr>
        <w:t>השתק עילה</w:t>
      </w:r>
      <w:r>
        <w:rPr>
          <w:rFonts w:ascii="David" w:hAnsi="David"/>
          <w:b/>
          <w:bCs/>
          <w:color w:val="000000"/>
          <w:sz w:val="28"/>
          <w:szCs w:val="28"/>
          <w:rtl/>
        </w:rPr>
        <w:t xml:space="preserve"> </w:t>
      </w:r>
      <w:r>
        <w:rPr>
          <w:rFonts w:ascii="David" w:hAnsi="David"/>
          <w:color w:val="000000"/>
          <w:sz w:val="28"/>
          <w:szCs w:val="28"/>
          <w:rtl/>
        </w:rPr>
        <w:t xml:space="preserve"> – </w:t>
      </w:r>
      <w:r>
        <w:rPr>
          <w:rFonts w:ascii="David" w:hAnsi="David"/>
          <w:sz w:val="28"/>
          <w:szCs w:val="28"/>
          <w:rtl/>
        </w:rPr>
        <w:t>"השתק עילה מקים מחסום דיוני לפני כל תביעה נוספת באותה עילה שמוצתה בפסק דין קודם, לאחר שהתביעה נדונה לגופה והוכרעה על ידי בית משפט מוסמך, ומונע מבעד הצדדים או חליפיהם לחזור ולתבוע בשל אותה עילה, אפילו אם הם מבקשים להעמיד למחלוקת פלוגתות שלא הועלו בתובענה הראשונה".</w:t>
      </w:r>
      <w:r>
        <w:rPr>
          <w:rStyle w:val="af0"/>
          <w:rFonts w:ascii="David" w:hAnsi="David"/>
          <w:sz w:val="28"/>
          <w:szCs w:val="28"/>
          <w:rtl/>
        </w:rPr>
        <w:footnoteReference w:id="2"/>
      </w:r>
    </w:p>
    <w:p w:rsidR="001A70C2" w:rsidRDefault="001A70C2" w:rsidP="001A70C2">
      <w:pPr>
        <w:pStyle w:val="a3"/>
        <w:spacing w:before="240" w:after="240" w:line="336" w:lineRule="auto"/>
        <w:ind w:left="1134" w:right="567"/>
        <w:jc w:val="both"/>
        <w:rPr>
          <w:rFonts w:ascii="David" w:hAnsi="David"/>
          <w:sz w:val="28"/>
          <w:szCs w:val="28"/>
        </w:rPr>
      </w:pPr>
      <w:r>
        <w:rPr>
          <w:rFonts w:ascii="David" w:hAnsi="David"/>
          <w:sz w:val="28"/>
          <w:szCs w:val="28"/>
          <w:rtl/>
        </w:rPr>
        <w:t>"ביסוד דוקטרינת השתק העילה עומדת התפיסה של מיצוי העילה: צד שהיה לו את יומו בבית המשפט ביחס לעילת התביעה, וזאת בין אם מימש אותה הלכה למעשה ובין אם היה צריך לממשה, אינו יכול לנהל הליך משפטי נוסף באותה עילה".</w:t>
      </w:r>
      <w:r>
        <w:rPr>
          <w:rStyle w:val="af0"/>
          <w:rFonts w:ascii="David" w:hAnsi="David"/>
          <w:sz w:val="28"/>
          <w:szCs w:val="28"/>
          <w:rtl/>
        </w:rPr>
        <w:footnoteReference w:id="3"/>
      </w:r>
    </w:p>
    <w:p w:rsidR="001A70C2" w:rsidRDefault="001A70C2" w:rsidP="001A70C2">
      <w:pPr>
        <w:pStyle w:val="a3"/>
        <w:spacing w:before="240" w:after="240" w:line="336" w:lineRule="auto"/>
        <w:ind w:left="1134" w:right="567"/>
        <w:jc w:val="both"/>
        <w:rPr>
          <w:rFonts w:ascii="David" w:hAnsi="David"/>
          <w:sz w:val="28"/>
          <w:szCs w:val="28"/>
          <w:rtl/>
        </w:rPr>
      </w:pPr>
      <w:r>
        <w:rPr>
          <w:rFonts w:ascii="David" w:hAnsi="David"/>
          <w:sz w:val="28"/>
          <w:szCs w:val="28"/>
          <w:rtl/>
        </w:rPr>
        <w:t>"הטעמים לכלל השתק עילה 'נעוצים בצורך למנוע הטרדת בעל דין שכנגד, ואילוצו להתדיין בענין שכבר נידון, וניתנה הכרעה לגביו, ובמניעת העמסת יתר על בתי המשפט בדיונים כפולים מיותרים' (...) אמנם כלל זה מצר את גישתו של התובע לערכאות שיפוטיות בגדריה של תובענה נוספת שמבקש הוא להגיש, ואולם עוצמת הפגיעה בזכות הגישה לערכאות מופחתת שכן כלל השתק העילה מיוסד מבחינה רעיונית על תפיסת מיצוי העילה בערכאות שיפוטיות, שהרי לתובע ניתן יומו בבית המשפט ביחס לעילה זו במסגרת התובענה הקודמת שהגיש".</w:t>
      </w:r>
      <w:r>
        <w:rPr>
          <w:rStyle w:val="af0"/>
          <w:rFonts w:ascii="David" w:hAnsi="David"/>
          <w:sz w:val="28"/>
          <w:szCs w:val="28"/>
          <w:rtl/>
        </w:rPr>
        <w:footnoteReference w:id="4"/>
      </w:r>
      <w:r>
        <w:rPr>
          <w:rFonts w:ascii="David" w:hAnsi="David"/>
          <w:sz w:val="28"/>
          <w:szCs w:val="28"/>
          <w:rtl/>
        </w:rPr>
        <w:t xml:space="preserve"> </w:t>
      </w:r>
      <w:r>
        <w:rPr>
          <w:rFonts w:ascii="David" w:hAnsi="David"/>
          <w:b/>
          <w:bCs/>
          <w:sz w:val="28"/>
          <w:szCs w:val="28"/>
          <w:rtl/>
        </w:rPr>
        <w:t>המבחן</w:t>
      </w:r>
      <w:r>
        <w:rPr>
          <w:rFonts w:ascii="David" w:hAnsi="David"/>
          <w:sz w:val="28"/>
          <w:szCs w:val="28"/>
          <w:rtl/>
        </w:rPr>
        <w:t xml:space="preserve"> לבדיקת השתק עילה נבחן לפי 'זהות העילה', להבדיל מ'זהות הסעד', </w:t>
      </w:r>
      <w:r>
        <w:rPr>
          <w:rFonts w:ascii="David" w:hAnsi="David"/>
          <w:b/>
          <w:bCs/>
          <w:sz w:val="28"/>
          <w:szCs w:val="28"/>
          <w:u w:val="single"/>
          <w:rtl/>
        </w:rPr>
        <w:t>כאשר הבדיקה האם התובע היה יכול לרכז את כל טענותיו הנוגעות למעשה בגינו הוא תובע, בתובענה אחת</w:t>
      </w:r>
      <w:r>
        <w:rPr>
          <w:rFonts w:ascii="David" w:hAnsi="David"/>
          <w:sz w:val="28"/>
          <w:szCs w:val="28"/>
          <w:rtl/>
        </w:rPr>
        <w:t>. אם התשובה לכך היא חיובית – אזי קם הכלל של השתק עילה.</w:t>
      </w:r>
      <w:r>
        <w:rPr>
          <w:rStyle w:val="af0"/>
          <w:rFonts w:ascii="David" w:hAnsi="David"/>
          <w:sz w:val="28"/>
          <w:szCs w:val="28"/>
          <w:rtl/>
        </w:rPr>
        <w:footnoteReference w:id="5"/>
      </w:r>
      <w:r>
        <w:rPr>
          <w:rFonts w:ascii="David" w:hAnsi="David"/>
          <w:sz w:val="28"/>
          <w:szCs w:val="28"/>
          <w:rtl/>
        </w:rPr>
        <w:t xml:space="preserve"> [ההדגשה הוספה]</w:t>
      </w:r>
    </w:p>
    <w:p w:rsidR="001A70C2" w:rsidRDefault="001A70C2" w:rsidP="001A70C2">
      <w:pPr>
        <w:pStyle w:val="a3"/>
        <w:numPr>
          <w:ilvl w:val="1"/>
          <w:numId w:val="2"/>
        </w:numPr>
        <w:tabs>
          <w:tab w:val="left" w:pos="720"/>
        </w:tabs>
        <w:spacing w:before="240" w:after="240" w:line="336" w:lineRule="auto"/>
        <w:ind w:left="1134" w:right="567" w:hanging="567"/>
        <w:jc w:val="both"/>
        <w:rPr>
          <w:rFonts w:ascii="David" w:hAnsi="David"/>
          <w:sz w:val="28"/>
          <w:szCs w:val="28"/>
        </w:rPr>
      </w:pPr>
      <w:r>
        <w:rPr>
          <w:rFonts w:ascii="David" w:hAnsi="David"/>
          <w:b/>
          <w:bCs/>
          <w:color w:val="000000"/>
          <w:sz w:val="28"/>
          <w:szCs w:val="28"/>
          <w:u w:val="single"/>
          <w:rtl/>
        </w:rPr>
        <w:lastRenderedPageBreak/>
        <w:t>השתק פלוגתה</w:t>
      </w:r>
      <w:r>
        <w:rPr>
          <w:rFonts w:ascii="David" w:hAnsi="David"/>
          <w:color w:val="000000"/>
          <w:sz w:val="28"/>
          <w:szCs w:val="28"/>
          <w:rtl/>
        </w:rPr>
        <w:t xml:space="preserve"> - </w:t>
      </w:r>
      <w:r>
        <w:rPr>
          <w:rFonts w:ascii="David" w:hAnsi="David"/>
          <w:sz w:val="28"/>
          <w:szCs w:val="28"/>
          <w:rtl/>
        </w:rPr>
        <w:t xml:space="preserve">השתק פלוגתה, מקים מחסום דיוני לפני כל אחד מבעלי הדין המבקש להתדיין שוב באותה פלוגתה שנדונה והוכרעה בפסק דין קודם, גם כאשר מבוססת ההתדיינות השניה על עילת תביעה שונה. כדי שיתקיים 'השתק פלוגתה' צריכים להתקיים ארבעה תנאים מצטברים: </w:t>
      </w:r>
      <w:r>
        <w:rPr>
          <w:rFonts w:ascii="David" w:hAnsi="David"/>
          <w:b/>
          <w:bCs/>
          <w:sz w:val="28"/>
          <w:szCs w:val="28"/>
          <w:rtl/>
        </w:rPr>
        <w:t>(א)</w:t>
      </w:r>
      <w:r>
        <w:rPr>
          <w:rFonts w:ascii="David" w:hAnsi="David"/>
          <w:sz w:val="28"/>
          <w:szCs w:val="28"/>
          <w:rtl/>
        </w:rPr>
        <w:t xml:space="preserve"> על הפלוגתה להיות זהה בשני ההליכים, על רכיביה העובדתיים והמשפטיים; </w:t>
      </w:r>
      <w:r>
        <w:rPr>
          <w:rFonts w:ascii="David" w:hAnsi="David"/>
          <w:b/>
          <w:bCs/>
          <w:sz w:val="28"/>
          <w:szCs w:val="28"/>
          <w:rtl/>
        </w:rPr>
        <w:t xml:space="preserve">(ב) </w:t>
      </w:r>
      <w:r>
        <w:rPr>
          <w:rFonts w:ascii="David" w:hAnsi="David"/>
          <w:sz w:val="28"/>
          <w:szCs w:val="28"/>
          <w:rtl/>
        </w:rPr>
        <w:t xml:space="preserve">התקיימה התדיינות באותה פלוגתה בהליך הראשון בין אותם צדדים; </w:t>
      </w:r>
      <w:r>
        <w:rPr>
          <w:rFonts w:ascii="David" w:hAnsi="David"/>
          <w:b/>
          <w:bCs/>
          <w:sz w:val="28"/>
          <w:szCs w:val="28"/>
          <w:rtl/>
        </w:rPr>
        <w:t xml:space="preserve">(ג) </w:t>
      </w:r>
      <w:r>
        <w:rPr>
          <w:rFonts w:ascii="David" w:hAnsi="David"/>
          <w:sz w:val="28"/>
          <w:szCs w:val="28"/>
          <w:rtl/>
        </w:rPr>
        <w:t xml:space="preserve">ההתדיינות הראשונה מסתיימת בהכרעה מפורשת או מכללא באותה פלוגתה תוך קביעת ממצא פוזיטיבי לגביה להבדיל מממצא של חוסר הוכחה; </w:t>
      </w:r>
      <w:r>
        <w:rPr>
          <w:rFonts w:ascii="David" w:hAnsi="David"/>
          <w:b/>
          <w:bCs/>
          <w:sz w:val="28"/>
          <w:szCs w:val="28"/>
          <w:rtl/>
        </w:rPr>
        <w:t xml:space="preserve">(ד) </w:t>
      </w:r>
      <w:r>
        <w:rPr>
          <w:rFonts w:ascii="David" w:hAnsi="David"/>
          <w:sz w:val="28"/>
          <w:szCs w:val="28"/>
          <w:rtl/>
        </w:rPr>
        <w:t>יש לבחון את מידת חיוניות ההכרעה בפלוגתה הנדונה לצורך מתן פסק הדין בהליך הראשון.</w:t>
      </w:r>
      <w:r>
        <w:rPr>
          <w:rStyle w:val="af0"/>
          <w:rFonts w:ascii="David" w:hAnsi="David"/>
          <w:sz w:val="28"/>
          <w:szCs w:val="28"/>
          <w:rtl/>
        </w:rPr>
        <w:footnoteReference w:id="6"/>
      </w:r>
      <w:r>
        <w:rPr>
          <w:rFonts w:ascii="David" w:hAnsi="David"/>
          <w:sz w:val="28"/>
          <w:szCs w:val="28"/>
          <w:rtl/>
        </w:rPr>
        <w:t xml:space="preserve"> לעניין התנאי האחרון, נקבע כי לא נדרש הכרעה מפורשת בפלוגתה זו או אחרת, אלא די כי הפלוגתה הועלתה לדיון בהליך הקודם.</w:t>
      </w:r>
      <w:r>
        <w:rPr>
          <w:rStyle w:val="af0"/>
          <w:rFonts w:ascii="David" w:hAnsi="David"/>
          <w:sz w:val="28"/>
          <w:szCs w:val="28"/>
          <w:rtl/>
        </w:rPr>
        <w:footnoteReference w:id="7"/>
      </w:r>
      <w:r>
        <w:rPr>
          <w:rFonts w:ascii="David" w:hAnsi="David"/>
          <w:sz w:val="28"/>
          <w:szCs w:val="28"/>
          <w:rtl/>
        </w:rPr>
        <w:t xml:space="preserve"> </w:t>
      </w:r>
    </w:p>
    <w:p w:rsidR="001A70C2" w:rsidRDefault="001A70C2" w:rsidP="001A70C2">
      <w:pPr>
        <w:spacing w:before="240" w:after="240" w:line="336" w:lineRule="auto"/>
        <w:ind w:right="284"/>
        <w:jc w:val="both"/>
        <w:rPr>
          <w:rFonts w:ascii="David" w:hAnsi="David"/>
          <w:b/>
          <w:bCs/>
          <w:sz w:val="28"/>
          <w:szCs w:val="28"/>
        </w:rPr>
      </w:pPr>
      <w:r>
        <w:rPr>
          <w:rFonts w:ascii="David" w:hAnsi="David"/>
          <w:b/>
          <w:bCs/>
          <w:sz w:val="28"/>
          <w:szCs w:val="28"/>
          <w:rtl/>
        </w:rPr>
        <w:t>מן הכלל ואל הפרט:</w:t>
      </w:r>
    </w:p>
    <w:p w:rsidR="001A70C2" w:rsidRDefault="001A70C2" w:rsidP="001A70C2">
      <w:pPr>
        <w:spacing w:before="240" w:after="240" w:line="336" w:lineRule="auto"/>
        <w:ind w:right="284"/>
        <w:jc w:val="both"/>
        <w:rPr>
          <w:rFonts w:ascii="David" w:hAnsi="David"/>
          <w:color w:val="FF0000"/>
          <w:sz w:val="28"/>
          <w:szCs w:val="28"/>
        </w:rPr>
      </w:pPr>
      <w:r>
        <w:rPr>
          <w:rFonts w:ascii="David" w:hAnsi="David"/>
          <w:sz w:val="28"/>
          <w:szCs w:val="28"/>
          <w:rtl/>
        </w:rPr>
        <w:t xml:space="preserve">לאחר עיון במלוא החומר בתיק לרבות ההליכים הקודמים, ובזהירות הראויה נוכח ההלכות שהוצגו לעיל לפיהן יש לנהוג בזהירות ובמשורה בבואנו לדחות תובענה על הסף, החלטנו כי יש להיעתר לבקשה דנן בשלב זה ולדחות את התביעה על הסף, ונסביר –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עילת התביעה בהליך מושא התביעה דנן – זכאות המשיבה לגמלת שאירים.</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המשיבה ניהלה הליך משפטי קודם ומקיף כנגד דחיית תביעתה הקודמת לגמלת שאירים מכוחו של המנוח, בתור אלמנה או ידועה בציבור של המנוח.</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עיון בכתב התביעה אשר הוגש ביום 26.5.2015 בתיק ב"ל </w:t>
      </w:r>
      <w:r>
        <w:rPr>
          <w:rFonts w:ascii="David" w:hAnsi="David"/>
          <w:sz w:val="28"/>
          <w:szCs w:val="28"/>
        </w:rPr>
        <w:t>XXX</w:t>
      </w:r>
      <w:r>
        <w:rPr>
          <w:rFonts w:ascii="David" w:hAnsi="David"/>
          <w:sz w:val="28"/>
          <w:szCs w:val="28"/>
          <w:rtl/>
        </w:rPr>
        <w:t xml:space="preserve"> (להלן: </w:t>
      </w:r>
      <w:r>
        <w:rPr>
          <w:rFonts w:ascii="David" w:hAnsi="David"/>
          <w:b/>
          <w:bCs/>
          <w:sz w:val="28"/>
          <w:szCs w:val="28"/>
          <w:rtl/>
        </w:rPr>
        <w:t>"ההליך הקודם</w:t>
      </w:r>
      <w:r>
        <w:rPr>
          <w:rFonts w:ascii="David" w:hAnsi="David"/>
          <w:sz w:val="28"/>
          <w:szCs w:val="28"/>
          <w:rtl/>
        </w:rPr>
        <w:t xml:space="preserve">"), מעלה כי התביעה הוגשה כנגד החלטות המבקש מהתאריכים 05.06.2014 ,26.06.2014, ו- 29.06.2014.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במכתב הדחייה מיום 29.06.2014 (צורף לכתב ההגנה, נספח א), רשם המבקש את נימוקי הדחיה כך – "</w:t>
      </w:r>
      <w:r>
        <w:rPr>
          <w:rFonts w:ascii="David" w:hAnsi="David"/>
          <w:b/>
          <w:bCs/>
          <w:sz w:val="28"/>
          <w:szCs w:val="28"/>
          <w:rtl/>
        </w:rPr>
        <w:t xml:space="preserve">..התביעה לקצבת שאירים בעבורך נדחתה...בשעת </w:t>
      </w:r>
      <w:r>
        <w:rPr>
          <w:rFonts w:ascii="David" w:hAnsi="David"/>
          <w:b/>
          <w:bCs/>
          <w:sz w:val="28"/>
          <w:szCs w:val="28"/>
          <w:rtl/>
        </w:rPr>
        <w:lastRenderedPageBreak/>
        <w:t>פטירתו של המנוח לא היית אשתו וגם לא היית ידועה בציבור כאישה המתגוררת עמו."</w:t>
      </w:r>
    </w:p>
    <w:p w:rsidR="001A70C2" w:rsidRDefault="001A70C2" w:rsidP="00696B06">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המשיבה הייתה ערה לכך בתביעתה, והמנוח אף הוגדר בכתב התביעה כבעלה של המשיבה או המנוח. כתב התביעה פירט בהרחבה את התשתית העובדתית הרלוונטית להוכחת עובדת היות המשיבה והמנוח זוג נשוי אשר בא בברית נישואין ביום </w:t>
      </w:r>
      <w:r w:rsidR="00696B06">
        <w:rPr>
          <w:rFonts w:ascii="David" w:hAnsi="David" w:hint="cs"/>
          <w:sz w:val="28"/>
          <w:szCs w:val="28"/>
        </w:rPr>
        <w:t>XX</w:t>
      </w:r>
      <w:r>
        <w:rPr>
          <w:rFonts w:ascii="David" w:hAnsi="David"/>
          <w:sz w:val="28"/>
          <w:szCs w:val="28"/>
          <w:rtl/>
        </w:rPr>
        <w:t>.</w:t>
      </w:r>
      <w:r w:rsidR="00696B06">
        <w:rPr>
          <w:rFonts w:ascii="David" w:hAnsi="David" w:hint="cs"/>
          <w:sz w:val="28"/>
          <w:szCs w:val="28"/>
        </w:rPr>
        <w:t>XX</w:t>
      </w:r>
      <w:r>
        <w:rPr>
          <w:rFonts w:ascii="David" w:hAnsi="David"/>
          <w:sz w:val="28"/>
          <w:szCs w:val="28"/>
          <w:rtl/>
        </w:rPr>
        <w:t>.1992 – מכאן כי הפלוגתה לעניין היות המשיבה והמנוח נשואים – הועלתה עוד בהליך הקודם (ראו עניין ביתן, ה"ש 4 לעיל).</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בכתב ההגנה מיום 28.01.2016 התייחס הנתבע לשאלת זכאות המשיבה כאלמנה לפי שתי החלופות – נשואה וידועה בציבור.</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בדיון מוקדם מיום 15.02.2016, טענה המשיבה באמצעות באת כוחה כי המשיבה והמנוח נישאו על פי ההלכה, חיו ביחד עד שהפך לסיעודי והיא וביתה סעדו את המנוח על בסיס יום יומי והיו שם. בהחלטת בית הדין במעמד הדיון הוגדרה הפלוגתה בתיק – האם להכיר במשיבה כאשתו ו/ או הידועה בציבור של המנוח.</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בהחלטת בית הדין יום 22.02.2016 הוגדרה שוב הפלוגתה בתיק – זכאות המשיבה לגמלת שאירים </w:t>
      </w:r>
      <w:r>
        <w:rPr>
          <w:rFonts w:ascii="David" w:hAnsi="David"/>
          <w:sz w:val="28"/>
          <w:szCs w:val="28"/>
          <w:u w:val="single"/>
          <w:rtl/>
        </w:rPr>
        <w:t xml:space="preserve">מכוחו </w:t>
      </w:r>
      <w:r>
        <w:rPr>
          <w:rFonts w:ascii="David" w:hAnsi="David"/>
          <w:sz w:val="28"/>
          <w:szCs w:val="28"/>
          <w:rtl/>
        </w:rPr>
        <w:t>של המנוח.</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המשיבה הציגה לפני בית הדין בהליך הקודם את מלוא טענותיה, לרבות נישואיה למנוח, הניחה לפניו את הראיות שבחרה להציג כמו כתובתה לתמיכה בטענתה שהיא עונה על הגדרת אלמנה שבחוק הביטוח הלאומי (נוסח משולב), התשנ"ה – 1995 (להלן: "</w:t>
      </w:r>
      <w:r>
        <w:rPr>
          <w:rFonts w:ascii="David" w:hAnsi="David"/>
          <w:b/>
          <w:bCs/>
          <w:sz w:val="28"/>
          <w:szCs w:val="28"/>
          <w:rtl/>
        </w:rPr>
        <w:t>החוק</w:t>
      </w:r>
      <w:r>
        <w:rPr>
          <w:rFonts w:ascii="David" w:hAnsi="David"/>
          <w:sz w:val="28"/>
          <w:szCs w:val="28"/>
          <w:rtl/>
        </w:rPr>
        <w:t>"). המשיבה טענה בהליך הקודם ולפני ערכאת הערעור כי מאחר והנישואין היו קידושים פרטיים לא היה ניתן לרשום אותם במשרד הפנים.</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color w:val="FF0000"/>
          <w:sz w:val="28"/>
          <w:szCs w:val="28"/>
        </w:rPr>
      </w:pPr>
      <w:r>
        <w:rPr>
          <w:rFonts w:ascii="David" w:hAnsi="David"/>
          <w:sz w:val="28"/>
          <w:szCs w:val="28"/>
          <w:rtl/>
        </w:rPr>
        <w:t xml:space="preserve">מעיון בפרוטוקול ההוכחות עולה כי, חקירות העדים התמקדו בשתי שאלות עיקריות – קיומו של משק בית משותף ו/או נפרדות המשיבה מהמנוח. עניין הנישואין אף הוא עלה לרבות שאלת מגורי התובעת עם המנוח בדיור המוגן, ואם הייתה קיימת אפשרות כזו, האם הוגשה בקשה לגור ביחד ואם זה אכן קרה בפועל.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lastRenderedPageBreak/>
        <w:t>המשיבה העידה בפירוט על מגוריה עם המנוח בדיור המוגן וטענה בהרחבה בסיכומיה לעניין זה לרבות טענתה להקפדתם להסתיר זאת מההנהלה עקב האיסור שנטען למגורים משותפים בדיור המוגן. המשיבה חזרה בסיכומיה על הטענה שזכאותה נובעת אף מנישואיה – קידושיה תחת חופה וקידושין.</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בית הדין החליט בפסק דינו לדחות את התביעה וקבע כי לא התקיימו בתובעת (המשיבה כאן) התנאים המזכים בגמלת שאירים. בית הדין התייחס למלוא טענות המשיבה, וערך ניתוח מעמיק לראיות הצדדים ועדויותיהם, בין היתר, טקס הנישואים, הימנעות המשיבה מלהצהיר על עצמה כידועה בציבור או נשואה בפני גורם כלשהו והמשך רישומה כרווקה במרשם האוכלוסין וכי במסגרת פניותיה לרשויות השונות הצהירה על עצמה כרווקה. בית הדין ערך דיון מקיף וקבע ממצא עובדתי חד משמעי כי לא התקיימו בתובעת תנאי המגורים המשותפים או השיתוף הכלכלי עם המנוח בחייו.</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בהודעת הערעור, פתחה המשיבה את הערעור בקביעתו של בית הדין האזורי שלא הכיר במשיבה "</w:t>
      </w:r>
      <w:r>
        <w:rPr>
          <w:rFonts w:ascii="David" w:hAnsi="David"/>
          <w:b/>
          <w:bCs/>
          <w:sz w:val="28"/>
          <w:szCs w:val="28"/>
          <w:rtl/>
        </w:rPr>
        <w:t>כאלמנתו ובת זוגתו של בעלה המנוח</w:t>
      </w:r>
      <w:r>
        <w:rPr>
          <w:rFonts w:ascii="David" w:hAnsi="David"/>
          <w:sz w:val="28"/>
          <w:szCs w:val="28"/>
          <w:rtl/>
        </w:rPr>
        <w:t xml:space="preserve">". קרי, המשיבה עתרה לבית הדין הארצי שיכיר בה כבת זוגו ואלמנתו של המנוח.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בדיונים שהתקיימו לפני בית הדין הארצי נדון, בין היתר, מעמדה כנשואה. המבקש (המשיב בערעור) התייחס במפורש לנפרדות המשיבה בשלוש שנים אחרונות.</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בית הדין הארצי אימץ את קביעותיו של בית הדין האזורי, וקבע את הדברים הבאים:</w:t>
      </w:r>
    </w:p>
    <w:p w:rsidR="001A70C2" w:rsidRDefault="001A70C2" w:rsidP="001A70C2">
      <w:pPr>
        <w:spacing w:before="240" w:after="240" w:line="336" w:lineRule="auto"/>
        <w:ind w:left="1134" w:right="567"/>
        <w:jc w:val="both"/>
        <w:rPr>
          <w:rFonts w:ascii="David" w:hAnsi="David"/>
          <w:noProof w:val="0"/>
          <w:sz w:val="28"/>
          <w:szCs w:val="28"/>
        </w:rPr>
      </w:pPr>
      <w:r>
        <w:rPr>
          <w:rFonts w:ascii="David" w:hAnsi="David"/>
          <w:sz w:val="28"/>
          <w:szCs w:val="28"/>
          <w:rtl/>
        </w:rPr>
        <w:t xml:space="preserve">"נזכיר בקשר לכך כי בהליך קודם הצהירה המערערת באופן מפורש כי לא חיה מעולם עם המנוח; גם אם הצהרה זו ניתנה בשנת 2000, היא עומדת בסתירה חזיתית לגרסתה של המערערת כפי שניתנה בהליך הנוכחי לגבי מערכת היחסים בינה לבין המנוח לאורך השנים. לכך התווספו הצהרות נוספות, הן של המערערת והן של המנוח, בפני המוסד וגורמים נוספים, לפיהן כל אחד מהם חי בנפרד. </w:t>
      </w:r>
    </w:p>
    <w:p w:rsidR="001A70C2" w:rsidRDefault="001A70C2" w:rsidP="001A70C2">
      <w:pPr>
        <w:spacing w:before="240" w:after="240" w:line="336" w:lineRule="auto"/>
        <w:ind w:left="1134" w:right="567" w:hanging="284"/>
        <w:jc w:val="both"/>
        <w:rPr>
          <w:rFonts w:ascii="David" w:hAnsi="David"/>
          <w:sz w:val="28"/>
          <w:szCs w:val="28"/>
        </w:rPr>
      </w:pPr>
      <w:r>
        <w:rPr>
          <w:rFonts w:ascii="David" w:hAnsi="David"/>
          <w:sz w:val="28"/>
          <w:szCs w:val="28"/>
          <w:rtl/>
        </w:rPr>
        <w:t>3.</w:t>
      </w:r>
      <w:r>
        <w:rPr>
          <w:rFonts w:ascii="David" w:hAnsi="David"/>
          <w:sz w:val="28"/>
          <w:szCs w:val="28"/>
          <w:rtl/>
        </w:rPr>
        <w:tab/>
        <w:t xml:space="preserve">גם אם נתייחס לפנים משורת הדין לראיות הנוספות שביקשה המערערת להציג בפנינו, לא מצאנו כי יש בהן כדי לשנות מהתוצאה אליה הגיע בית הדין האזורי וקביעתו כי </w:t>
      </w:r>
      <w:r>
        <w:rPr>
          <w:rFonts w:ascii="David" w:hAnsi="David"/>
          <w:b/>
          <w:bCs/>
          <w:sz w:val="28"/>
          <w:szCs w:val="28"/>
          <w:rtl/>
        </w:rPr>
        <w:t xml:space="preserve">לא עלה בידי המערערת </w:t>
      </w:r>
      <w:r>
        <w:rPr>
          <w:rFonts w:ascii="David" w:hAnsi="David"/>
          <w:b/>
          <w:bCs/>
          <w:sz w:val="28"/>
          <w:szCs w:val="28"/>
          <w:rtl/>
        </w:rPr>
        <w:lastRenderedPageBreak/>
        <w:t>להוכיח כי מתקיימים בה התנאים המצטברים הנדרשים לפי חוק לצורך זכאות לגמלת שאירים</w:t>
      </w:r>
      <w:r>
        <w:rPr>
          <w:rFonts w:ascii="David" w:hAnsi="David"/>
          <w:sz w:val="28"/>
          <w:szCs w:val="28"/>
          <w:rtl/>
        </w:rPr>
        <w:t xml:space="preserve">. לפיכך גם אם נצא מנקודת הנחה לטובת המערערת כי היה בין המערערת למנוח קשר לאורך שנים רבות, </w:t>
      </w:r>
      <w:r>
        <w:rPr>
          <w:rFonts w:ascii="David" w:hAnsi="David"/>
          <w:b/>
          <w:bCs/>
          <w:sz w:val="28"/>
          <w:szCs w:val="28"/>
          <w:rtl/>
        </w:rPr>
        <w:t xml:space="preserve">וגם אם טיפלה בו בשנותיו האחרונות, </w:t>
      </w:r>
      <w:r>
        <w:rPr>
          <w:rFonts w:ascii="David" w:hAnsi="David"/>
          <w:sz w:val="28"/>
          <w:szCs w:val="28"/>
          <w:rtl/>
        </w:rPr>
        <w:t>לא שוכנענו כי יש בכך כדי ללמד על היותה ידועה בציבור</w:t>
      </w:r>
      <w:r>
        <w:rPr>
          <w:rFonts w:ascii="David" w:hAnsi="David"/>
          <w:b/>
          <w:bCs/>
          <w:sz w:val="28"/>
          <w:szCs w:val="28"/>
          <w:rtl/>
        </w:rPr>
        <w:t xml:space="preserve"> שגרה עמו באופן המזכה בגמלת שאירים</w:t>
      </w:r>
      <w:r>
        <w:rPr>
          <w:rFonts w:ascii="David" w:hAnsi="David"/>
          <w:sz w:val="28"/>
          <w:szCs w:val="28"/>
          <w:rtl/>
        </w:rPr>
        <w:t xml:space="preserve"> לפי הוראות החוק." [ההדגשות אינן במקור]</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color w:val="FF0000"/>
          <w:sz w:val="28"/>
          <w:szCs w:val="28"/>
        </w:rPr>
      </w:pPr>
      <w:r>
        <w:rPr>
          <w:rFonts w:ascii="David" w:hAnsi="David"/>
          <w:sz w:val="28"/>
          <w:szCs w:val="28"/>
          <w:rtl/>
        </w:rPr>
        <w:t xml:space="preserve">יוצא אפוא, כי בית הדין שלל את זכאות המשיבה לגמלת שאירים וקבע במפורש כי לא עלה בידיה להוכיח כי מתקיימים בה התנאים המצטברים הנדרשים לפי חוק לצורך זכאות לגמלת שאירים. גם התייחס, לפנים משורת הדין, לראיות חדשות שהמציאה המשיבה מהלך הדיון בערעור ובעיקר קבע כי גם אם טיפלה המשיבה במנוח בשנותיו האחרונות אין בכך כדי ללמד על היותה ידועה בציבור </w:t>
      </w:r>
      <w:r>
        <w:rPr>
          <w:rFonts w:ascii="David" w:hAnsi="David"/>
          <w:b/>
          <w:bCs/>
          <w:sz w:val="28"/>
          <w:szCs w:val="28"/>
          <w:rtl/>
        </w:rPr>
        <w:t>שגרה עמו</w:t>
      </w:r>
      <w:r>
        <w:rPr>
          <w:rFonts w:ascii="David" w:hAnsi="David"/>
          <w:sz w:val="28"/>
          <w:szCs w:val="28"/>
          <w:rtl/>
        </w:rPr>
        <w:t xml:space="preserve"> באופן המזכה בגמלה. בית הדין הארצי החליט לאשר את פסק הדין האזורי מטעמיו בהיותו מבוסס </w:t>
      </w:r>
      <w:r>
        <w:rPr>
          <w:rFonts w:ascii="Arial" w:hAnsi="Arial"/>
          <w:sz w:val="28"/>
          <w:szCs w:val="28"/>
          <w:rtl/>
        </w:rPr>
        <w:t>בעיקרו על קביעות עובדתיות ועל התרשמותו מעדותה של המשיבה ומכלול הראיות שהובאו בפניו. לפיכך, לא מצא הצדקה להתערב בקביעות אלו.</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מכאן כי עילת התביעה – זכאות לגמלת שאירים בשתי החלופות אלמנה וידועה בציבור, נדונה והוכרעה בהליך הקודם.</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 xml:space="preserve">טענת המשיבה כי לא הייתה לבתי הדין בהליכים הקודמים סמכות עניינית לדון בשאלת היותה אלמנה מכוח מעמדה כאישה נשואה, בהיות שאלה זו בסמכותו הייחודית של בית הדין הרבני, אינה מתיישבת כלל עם טענותיה בשתי הערכאות הקודמות. נוסיף כי לא עלתה אף טענה להעדר סמכות עניינית באף אחת משתי הערכאות.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אנו דוחים את טענת המשיבה כי החלטת בית הדין הרבני לראות בה כאלמנה מחייבת את המוסד לביטוח לאומי להכיר בה כאלמנה כהגדרת מונח זה בחוק. </w:t>
      </w:r>
    </w:p>
    <w:p w:rsidR="001A70C2" w:rsidRDefault="001A70C2" w:rsidP="00DB093B">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בהחלטת בית הדין הרבני שהציגה המשיבה נרשם כי המשיבה והמנוח נישאו ביום </w:t>
      </w:r>
      <w:r w:rsidR="00696B06">
        <w:rPr>
          <w:rFonts w:ascii="David" w:hAnsi="David" w:hint="cs"/>
          <w:sz w:val="28"/>
          <w:szCs w:val="28"/>
        </w:rPr>
        <w:t>XX</w:t>
      </w:r>
      <w:r>
        <w:rPr>
          <w:rFonts w:ascii="David" w:hAnsi="David"/>
          <w:sz w:val="28"/>
          <w:szCs w:val="28"/>
          <w:rtl/>
        </w:rPr>
        <w:t>.</w:t>
      </w:r>
      <w:r w:rsidR="00696B06">
        <w:rPr>
          <w:rFonts w:ascii="David" w:hAnsi="David" w:hint="cs"/>
          <w:sz w:val="28"/>
          <w:szCs w:val="28"/>
        </w:rPr>
        <w:t>XX</w:t>
      </w:r>
      <w:r>
        <w:rPr>
          <w:rFonts w:ascii="David" w:hAnsi="David"/>
          <w:sz w:val="28"/>
          <w:szCs w:val="28"/>
          <w:rtl/>
        </w:rPr>
        <w:t xml:space="preserve">.1992 והיו נישואים עד לפטירתו. החל מיום </w:t>
      </w:r>
      <w:r w:rsidR="00DB093B">
        <w:rPr>
          <w:rFonts w:ascii="David" w:hAnsi="David" w:hint="cs"/>
          <w:sz w:val="28"/>
          <w:szCs w:val="28"/>
        </w:rPr>
        <w:t>XXX</w:t>
      </w:r>
      <w:r>
        <w:rPr>
          <w:rFonts w:ascii="David" w:hAnsi="David"/>
          <w:sz w:val="28"/>
          <w:szCs w:val="28"/>
          <w:rtl/>
        </w:rPr>
        <w:t xml:space="preserve"> מעמדה של המשיבה אלמנת המנוח. אולם אין שום קביעה שהם גרו ביחד משך שנים אלו, לפחות בתקופה האחרונה לפני פטירתו.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lastRenderedPageBreak/>
        <w:t xml:space="preserve">סעיף 238 לחוק מגדיר את המושגים "אלמנה" לעניין הזכות לגמלת שאירים לאמור: </w:t>
      </w:r>
    </w:p>
    <w:p w:rsidR="001A70C2" w:rsidRDefault="001A70C2" w:rsidP="001A70C2">
      <w:pPr>
        <w:spacing w:line="300" w:lineRule="auto"/>
        <w:ind w:left="1440" w:right="1134"/>
        <w:jc w:val="both"/>
        <w:rPr>
          <w:rFonts w:ascii="David" w:hAnsi="David"/>
          <w:noProof w:val="0"/>
          <w:sz w:val="28"/>
          <w:szCs w:val="28"/>
        </w:rPr>
      </w:pPr>
      <w:r>
        <w:rPr>
          <w:rFonts w:ascii="David" w:hAnsi="David"/>
          <w:noProof w:val="0"/>
          <w:sz w:val="28"/>
          <w:szCs w:val="28"/>
          <w:rtl/>
        </w:rPr>
        <w:t xml:space="preserve">"אלמנה" - מי שהיתה אשתו של המבוטח בשעת פטירתו, להוציא - </w:t>
      </w:r>
    </w:p>
    <w:p w:rsidR="001A70C2" w:rsidRDefault="001A70C2" w:rsidP="001A70C2">
      <w:pPr>
        <w:spacing w:line="300" w:lineRule="auto"/>
        <w:ind w:left="2160" w:right="1134"/>
        <w:jc w:val="both"/>
        <w:rPr>
          <w:rFonts w:ascii="David" w:hAnsi="David"/>
          <w:noProof w:val="0"/>
          <w:sz w:val="28"/>
          <w:szCs w:val="28"/>
        </w:rPr>
      </w:pPr>
      <w:r>
        <w:rPr>
          <w:rFonts w:ascii="David" w:hAnsi="David"/>
          <w:noProof w:val="0"/>
          <w:sz w:val="28"/>
          <w:szCs w:val="28"/>
          <w:rtl/>
        </w:rPr>
        <w:t>(1) מי שהיתה אשתו פחות משנה, ואם היא בת 55 שנים ומעלה - פחות מחצי שנה, ולא ילדה לו ילד;</w:t>
      </w:r>
    </w:p>
    <w:p w:rsidR="001A70C2" w:rsidRDefault="001A70C2" w:rsidP="001A70C2">
      <w:pPr>
        <w:spacing w:line="300" w:lineRule="auto"/>
        <w:ind w:left="2160" w:right="1134"/>
        <w:jc w:val="both"/>
        <w:rPr>
          <w:rFonts w:ascii="David" w:hAnsi="David"/>
          <w:noProof w:val="0"/>
          <w:sz w:val="28"/>
          <w:szCs w:val="28"/>
        </w:rPr>
      </w:pPr>
      <w:r>
        <w:rPr>
          <w:rFonts w:ascii="David" w:hAnsi="David"/>
          <w:noProof w:val="0"/>
          <w:sz w:val="28"/>
          <w:szCs w:val="28"/>
          <w:rtl/>
        </w:rPr>
        <w:t>(2) מי שבחמש השנים האחרונות שלפני פטירת המבוטח היתה נפרדת ממנו שלוש שנים לפחות ובכללן 12 חודשים שלפני פטירת המבוטח ולא היתה זכאית למזונות ממנו על פי פסק דין של בית משפט או בית דין מוסמך או על פי הסכם בכתב, או שהמבוטח לא נשא למעשה במזונותיה תוך 12 החודשים שלפני פטירתו; פסקה זו לא תחול על אשה שבעת פטירתו של המבוטח שולמה בעדה תוספת תלויים לפי סעיפים 200 או 244;</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התובעת כאמור הגישה את תביעתה בהליך הקודם כנגד החלטות הנתבע לא להכיר בה כאלמנה – האישה או הידועה בציבור של המנוח. ההגדרה של המושג</w:t>
      </w:r>
      <w:r>
        <w:rPr>
          <w:rFonts w:ascii="David" w:hAnsi="David"/>
          <w:b/>
          <w:bCs/>
          <w:sz w:val="28"/>
          <w:szCs w:val="28"/>
          <w:rtl/>
        </w:rPr>
        <w:t xml:space="preserve"> "אשתו", </w:t>
      </w:r>
      <w:r>
        <w:rPr>
          <w:rFonts w:ascii="David" w:hAnsi="David"/>
          <w:sz w:val="28"/>
          <w:szCs w:val="28"/>
          <w:rtl/>
        </w:rPr>
        <w:t>שאליה מפנה ההגדרה של המושג "אלמנה" כאמור, מופיעה בסעיף 1 לחוק לאמור:</w:t>
      </w:r>
      <w:r>
        <w:rPr>
          <w:rFonts w:ascii="David" w:hAnsi="David"/>
          <w:b/>
          <w:bCs/>
          <w:sz w:val="28"/>
          <w:szCs w:val="28"/>
          <w:rtl/>
        </w:rPr>
        <w:t xml:space="preserve"> </w:t>
      </w:r>
      <w:r>
        <w:rPr>
          <w:rFonts w:ascii="David" w:hAnsi="David"/>
          <w:sz w:val="28"/>
          <w:szCs w:val="28"/>
          <w:rtl/>
        </w:rPr>
        <w:t>"</w:t>
      </w:r>
      <w:r>
        <w:rPr>
          <w:rFonts w:ascii="David" w:hAnsi="David"/>
          <w:b/>
          <w:bCs/>
          <w:sz w:val="28"/>
          <w:szCs w:val="28"/>
          <w:rtl/>
        </w:rPr>
        <w:t>לרבות הידועה בציבור והיא גרה עמו</w:t>
      </w:r>
      <w:r>
        <w:rPr>
          <w:rFonts w:ascii="David" w:hAnsi="David"/>
          <w:sz w:val="28"/>
          <w:szCs w:val="28"/>
          <w:rtl/>
        </w:rPr>
        <w:t>".</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כך למעשה, הוכרעו בהליך הקודם שתי השאלות – יחסים של ידועים בציבור </w:t>
      </w:r>
      <w:r>
        <w:rPr>
          <w:rFonts w:ascii="David" w:hAnsi="David"/>
          <w:b/>
          <w:bCs/>
          <w:sz w:val="28"/>
          <w:szCs w:val="28"/>
          <w:rtl/>
        </w:rPr>
        <w:t>בעת</w:t>
      </w:r>
      <w:r>
        <w:rPr>
          <w:rFonts w:ascii="David" w:hAnsi="David"/>
          <w:sz w:val="28"/>
          <w:szCs w:val="28"/>
          <w:rtl/>
        </w:rPr>
        <w:t xml:space="preserve"> פטירת בן הזוג ומגורים משותפים בשעת הפטירה – גרה עמו. גם התייחס בית הדין האזורי לעניין נישואי המשיבה, הצהרות המשיבה והמנוח על מעמדם בפני רשויות שונות (לא כזוג נשוי או ידועים בציבור) ורישומים רשמיים כמו במשרד הפנים של סטטוס המשיבה כרווקה, ובכך לא קיבל טענתה להכיר בה כאלמנה גם בטענה כאישה נשואה.</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tl/>
        </w:rPr>
      </w:pPr>
      <w:r>
        <w:rPr>
          <w:rFonts w:ascii="David" w:hAnsi="David"/>
          <w:sz w:val="28"/>
          <w:szCs w:val="28"/>
          <w:rtl/>
        </w:rPr>
        <w:t>אין מחלוקת כי לא שולמה עבור המשיבה תוספת תלויים מכוח סעיפים 200 או 244 לחוק הביטוח הלאומי. משכך, יש לבחון לגביה אם הוכרעה בהליך הקודם שאלת הסייג להגדרת אלמנה בסעיף 238 של מגורים בנפרד וזכאות למזונות.</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בית הדין האזורי בהליך הקודם קבע כפי שפרטנו לעיל, כי </w:t>
      </w:r>
      <w:r>
        <w:rPr>
          <w:rFonts w:ascii="David" w:eastAsia="David" w:hAnsi="David"/>
          <w:sz w:val="28"/>
          <w:szCs w:val="28"/>
          <w:rtl/>
        </w:rPr>
        <w:t xml:space="preserve">מחומר הראיות עולה כי לא מתקיימים במשיבה התנאים המזכים בתשלום גמלת שאירים, </w:t>
      </w:r>
      <w:r>
        <w:rPr>
          <w:rFonts w:ascii="David" w:eastAsia="David" w:hAnsi="David"/>
          <w:sz w:val="28"/>
          <w:szCs w:val="28"/>
          <w:rtl/>
        </w:rPr>
        <w:lastRenderedPageBreak/>
        <w:t xml:space="preserve">לרבות תנאי המגורים המשותפים תוך התייחסות מפורטת להצהרות המשיבה והמנוח לחייהם בנפרד. </w:t>
      </w:r>
      <w:r>
        <w:rPr>
          <w:rFonts w:ascii="David" w:hAnsi="David"/>
          <w:sz w:val="28"/>
          <w:szCs w:val="28"/>
          <w:rtl/>
        </w:rPr>
        <w:t>משכך, קיים השתק פלוגתה לגבי עובדה זו.</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אנו דוחים את טענת המשיבה כי מאחר ולא נקבע בהליך הקודם ממצא פוזיטיבי מי התגורר בפועל עם המנוח וסעד אותו יש לאפשר לה להוכיח מי היה שם עבור המנוח ומי טפל בו. בית הדין אינו צריך לקבוע מי היה שם אלא אם המשיבה גרה עם המנוח או הייתה נפרדת ממנו. ממצא פוזיטיבי בעניין זה נקבע חד משמעית.</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טענות המשיבה כנגד קביעות בית הדין האזורי לעניין עדת המבקש ועדים נוספים שביקשה להעיד נדונו בהליך הערעור ואין מקומם בהליך זה שאינו מהווה הליך ערעורי על פסקי דין קודמים. יתר הראיות עליהם מבססת את טענותיה כעת היו ברשותה בתקופת ההליך הקודם והמשיבה בחרה לא להגיש אותן במלואן. עם זאת ראיות אלו צורפו להודעת הערעור דאז ובית הדין הארצי התייחס אליהן לפנים משורת הדין.</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לא נעלם מעינינו השוני בנטלי ההוכחה לקיום הגדרת אלמנה בין אישה נשואה לבין ידועה בציבור. עם זאת, הקביעות בהליכים הקודמים מקיימות את הסייגים שבהגדרת אישה נשואה ונסביר.</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eastAsia="David" w:hAnsi="David"/>
          <w:sz w:val="28"/>
          <w:szCs w:val="28"/>
          <w:rtl/>
        </w:rPr>
        <w:t>כעולה מהקביעות בפסק הדין באזורי, הן המנוח והן המשיבה הצהירו בפני רשויות שונות לאורך השנים על חייהם בנפרד בתביעות/בקשות לקבלת הטבות שונות</w:t>
      </w:r>
      <w:r>
        <w:rPr>
          <w:rFonts w:ascii="David" w:hAnsi="David"/>
          <w:sz w:val="28"/>
          <w:szCs w:val="28"/>
          <w:rtl/>
        </w:rPr>
        <w:t xml:space="preserve">.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בית הדין לא נתן אימון בגרסת המשיבה לגבי מגוריה עם המנוח וזו נדחתה, ובמסקנתו הסופית קבע שלא מתקיימים במשיבה התנאים המזכים בתשלום גמלת שאירים בין היתר תנאי המגורים המשותפים.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בבית הדין הארצי עיין המותב בראיות נוספות שהגישה המשיבה והחליט לאשרר פסק הדין באזורי על כלל קביעותיו העובדתיות.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eastAsia="David" w:hAnsi="David"/>
          <w:sz w:val="28"/>
          <w:szCs w:val="28"/>
          <w:rtl/>
        </w:rPr>
        <w:t>בקביעתו כי המנוח התגורר לבד התבסס בית הדין האזורי בהליך הקודם, בין השאר, על נספחים  נ/14 עד נ/21 שהוצגו שם. מדובר בהצהרות שונות של המנוח מול המבקש לפיהן התגורר המנוח לבדו מאשפוזו בשנת 2009</w:t>
      </w:r>
      <w:r>
        <w:rPr>
          <w:rFonts w:ascii="David" w:hAnsi="David"/>
          <w:sz w:val="28"/>
          <w:szCs w:val="28"/>
          <w:rtl/>
        </w:rPr>
        <w:t xml:space="preserve"> ועד לאפריל 2013, ואלו חלק מקביעותיו העובדתיות של פסק הדין באזורי. בית </w:t>
      </w:r>
      <w:r>
        <w:rPr>
          <w:rFonts w:ascii="David" w:hAnsi="David"/>
          <w:sz w:val="28"/>
          <w:szCs w:val="28"/>
          <w:rtl/>
        </w:rPr>
        <w:lastRenderedPageBreak/>
        <w:t xml:space="preserve">הדין הסתמך בין היתר על עדות גב' </w:t>
      </w:r>
      <w:r>
        <w:rPr>
          <w:rFonts w:ascii="David" w:hAnsi="David"/>
          <w:sz w:val="28"/>
          <w:szCs w:val="28"/>
        </w:rPr>
        <w:t>XXX</w:t>
      </w:r>
      <w:r>
        <w:rPr>
          <w:rFonts w:ascii="David" w:hAnsi="David"/>
          <w:sz w:val="28"/>
          <w:szCs w:val="28"/>
          <w:rtl/>
        </w:rPr>
        <w:t xml:space="preserve"> הגם שאישרה כי המשיבה טיפלה במנוח בחצי שנה אחרונה לפני פטירתו, היא העידה כי המשיבה לא גרה עימו. המנוח, כאמור, נפטר ב- </w:t>
      </w:r>
      <w:r>
        <w:rPr>
          <w:rFonts w:ascii="David" w:hAnsi="David"/>
          <w:sz w:val="28"/>
          <w:szCs w:val="28"/>
        </w:rPr>
        <w:t>XXX</w:t>
      </w:r>
      <w:r>
        <w:rPr>
          <w:rFonts w:ascii="David" w:hAnsi="David"/>
          <w:sz w:val="28"/>
          <w:szCs w:val="28"/>
          <w:rtl/>
        </w:rPr>
        <w:t>. מכאן כי המשיבה הייתה נפרדת מהמנוח שלוש שנים בחמש שנים אחרונות לפני פטירתו כקבוע בסייג להגדרת אלמנה ואין רלוונטיות להבדלים בין דרישות הוכחת מגורים במשותף לגבי ידועים בציבור, לבין סייג הנפרדות בין בני זוג נשואים וזאת נוכח הקביעות העובדתיות כאמור שמקימות השתק פלוגתה, ברי כי נסתם הגולל על שתי המחלוקות הללו. נוכח ניתוח הראיות בפסק הדין האזורי ובערכאת הערעור המשיבה לא התגוררה עם המנוח בשנותיו האחרונות לרבות בשנה האחרונה קודם לפטירתו. יוצא אפוא שבהתאם לקביעות העובדתיות בהליך הקודם המשיבה הייתה נפרדת מהמנוח.</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נוסיף כי בהתאם לקביעות בהליך הקודם, המשיבה לא גרה עם המנוח ערב מעברו לדיור מוגן בשנת 2005. הרי המשיבה קיבלה הבטחת הכנסה כחד הורית, המשיבה הגישה תביעה להבטחת הכנסה בשנת 2007 שבה הצהירה כי היא חד הורית וכתובתה הרשומה הייתה כתובת הוריה </w:t>
      </w:r>
      <w:r>
        <w:rPr>
          <w:rFonts w:ascii="David" w:hAnsi="David"/>
          <w:sz w:val="28"/>
          <w:szCs w:val="28"/>
        </w:rPr>
        <w:t>XXX</w:t>
      </w:r>
      <w:r>
        <w:rPr>
          <w:rFonts w:ascii="David" w:hAnsi="David"/>
          <w:sz w:val="28"/>
          <w:szCs w:val="28"/>
          <w:rtl/>
        </w:rPr>
        <w:t xml:space="preserve"> שם גרה וגדלה ביתה. בשנת 2007 כשהמנוח הגיש תביעה לשירותים מיוחדים הצהיר שנעזר בחברים ולא ציין שיש לו בת זוג. ובטופס עדכון משנת 2008 הצהיר כי אין שינוי במצבו המשפחתי. גם בתביעות לגמלת שירותים מיוחדים בשנים 2012 ו- 2013 הצהיר המנוח כי הוא פרוד. </w:t>
      </w:r>
    </w:p>
    <w:p w:rsidR="001A70C2" w:rsidRDefault="001A70C2" w:rsidP="00234E5B">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נוכח הראיות בהליך הקודם וקביעות בית הדין שם, וכי עובר למעבר המנוח לדיור המוגן לא חיו המשיבה והמנוח ביחד, יוצא אפוא כי הנפרדות במגורים אינה תוצאה של מעבר המנוח לדיור מוגן כפי שהיה במקרים אחרים אליהם הפנתה המשיבה. נוסיף כי טענה זו סותרת את טענת המשיבה העובדתית כי המשיכה לגור עם המנוח בדיור המוגן – טענה שנדחתה בהליך הקודם. בית הדין בחן את המגורים המשותפים בשנת </w:t>
      </w:r>
      <w:r w:rsidR="00234E5B">
        <w:rPr>
          <w:rFonts w:ascii="David" w:hAnsi="David" w:hint="cs"/>
          <w:sz w:val="28"/>
          <w:szCs w:val="28"/>
        </w:rPr>
        <w:t>XXX</w:t>
      </w:r>
      <w:r>
        <w:rPr>
          <w:rFonts w:ascii="David" w:hAnsi="David"/>
          <w:sz w:val="28"/>
          <w:szCs w:val="28"/>
          <w:rtl/>
        </w:rPr>
        <w:t xml:space="preserve"> השנה שקדמה לפטירת המנוח וקבע כי בהתאם למסמכים שהוצגו על ידי הנתבע שם (המבקש דנן) המנוח גר לבד ולא נמצאו פרטים של מישהו זולתו.</w:t>
      </w:r>
    </w:p>
    <w:p w:rsidR="001A70C2" w:rsidRDefault="001A70C2" w:rsidP="001A70C2">
      <w:pPr>
        <w:pStyle w:val="ruller4"/>
        <w:numPr>
          <w:ilvl w:val="0"/>
          <w:numId w:val="2"/>
        </w:numPr>
        <w:spacing w:before="240" w:after="240" w:line="336" w:lineRule="auto"/>
        <w:ind w:left="567" w:right="284" w:hanging="567"/>
        <w:rPr>
          <w:rFonts w:ascii="David" w:hAnsi="David" w:cs="David"/>
          <w:sz w:val="28"/>
          <w:szCs w:val="28"/>
        </w:rPr>
      </w:pPr>
      <w:r>
        <w:rPr>
          <w:rFonts w:ascii="David" w:hAnsi="David" w:cs="David"/>
          <w:color w:val="000000"/>
          <w:sz w:val="28"/>
          <w:szCs w:val="28"/>
          <w:rtl/>
        </w:rPr>
        <w:t xml:space="preserve">אין חולק כי למשיבה ניתנה הזדמנות מלאה להוכיח את טענותיה בהליכים הקודמים. לכן קם השתק עילה והשתק פלוגתה לגבי זכאותה לגמלת שאירים כאלמנה בשתי החלופות נשואה וידועה בציבור.  "מחסום הדיוני קם בשל ההזדמנות שניתנה לה בגדרי ההליך הראשון </w:t>
      </w:r>
      <w:r>
        <w:rPr>
          <w:rFonts w:ascii="David" w:hAnsi="David" w:cs="David"/>
          <w:color w:val="000000"/>
          <w:sz w:val="28"/>
          <w:szCs w:val="28"/>
          <w:rtl/>
        </w:rPr>
        <w:lastRenderedPageBreak/>
        <w:t>למצות את העילה באמצעות הכרעה לגופם של דברים. ואולם, משהעדר מיצוי ההכרעה לגופה נבע מבחירתה הדיונית בגדרי ההליך הראשון – ובענייננו זניחת הסעד בסיכומים – הרי שמופחת החשש מפני פגיעה כפויה בזכות הגישה לערכאות.  עסקינן איפוא בהצרה של אפשרות הגישה לערכאות, שהיא בעלת מימד רצוני. המערערת אחזה במפתח למיצוי בירור עילת התביעה בתובענה הראשונה, ומשנמנעה מלעשות בו שימוש יעיל אין לה להלין אלא על עצמה</w:t>
      </w:r>
      <w:r>
        <w:rPr>
          <w:rFonts w:ascii="David" w:hAnsi="David" w:cs="David"/>
          <w:color w:val="000000"/>
          <w:sz w:val="28"/>
          <w:szCs w:val="28"/>
        </w:rPr>
        <w:t>"</w:t>
      </w:r>
      <w:r>
        <w:rPr>
          <w:rFonts w:ascii="David" w:hAnsi="David" w:cs="David"/>
          <w:sz w:val="28"/>
          <w:szCs w:val="28"/>
          <w:rtl/>
        </w:rPr>
        <w:t xml:space="preserve">; ע"א 4087/04 </w:t>
      </w:r>
      <w:r>
        <w:rPr>
          <w:rFonts w:ascii="David" w:hAnsi="David" w:cs="David"/>
          <w:b/>
          <w:bCs/>
          <w:sz w:val="28"/>
          <w:szCs w:val="28"/>
          <w:rtl/>
        </w:rPr>
        <w:t>מוטי גורה נ' בנק לאומי</w:t>
      </w:r>
      <w:r>
        <w:rPr>
          <w:rFonts w:ascii="David" w:hAnsi="David" w:cs="David"/>
          <w:spacing w:val="0"/>
          <w:sz w:val="28"/>
          <w:szCs w:val="28"/>
          <w:rtl/>
        </w:rPr>
        <w:t xml:space="preserve"> </w:t>
      </w:r>
      <w:r>
        <w:rPr>
          <w:rFonts w:ascii="David" w:hAnsi="David" w:cs="David"/>
          <w:sz w:val="28"/>
          <w:szCs w:val="28"/>
          <w:rtl/>
        </w:rPr>
        <w:t xml:space="preserve">(8.9.05). </w:t>
      </w:r>
    </w:p>
    <w:p w:rsidR="001A70C2" w:rsidRDefault="001A70C2" w:rsidP="001A70C2">
      <w:pPr>
        <w:pStyle w:val="ruller4"/>
        <w:numPr>
          <w:ilvl w:val="0"/>
          <w:numId w:val="2"/>
        </w:numPr>
        <w:spacing w:before="240" w:after="240" w:line="336" w:lineRule="auto"/>
        <w:ind w:left="567" w:right="284" w:hanging="567"/>
        <w:rPr>
          <w:rFonts w:ascii="David" w:hAnsi="David" w:cs="David"/>
          <w:sz w:val="28"/>
          <w:szCs w:val="28"/>
        </w:rPr>
      </w:pPr>
      <w:r>
        <w:rPr>
          <w:rFonts w:ascii="David" w:hAnsi="David" w:cs="David"/>
          <w:sz w:val="28"/>
          <w:szCs w:val="28"/>
          <w:rtl/>
        </w:rPr>
        <w:t>המבקש הוכיח כי בהליך הקודם נדונה טענת המשיבה לזכאות לגמלת שאירים כאישה נשואה או ידועה בציבור. גם אם הייתה מתקבלת טענת המשיבה כי מעמדה כאישה נשואה לא נדון (ואנו דוחים טענה זו) הרי בהתאם לפסיקה לא ניתן להעמיד למחלוקת פלוגתה שלא הועלתה בתובענה הראשונה. צד שהיה לו יומו ביחס לעילת תביעה, זאת בין אם מימש אותה הלכה למעשה ובין אם היה צריך לממשה, אינו יכול לנהל הליך משפטי נוסף באותה עילה.</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שמנו לב כי במסגרת תביעה זו מנסה המשיבה לעשות מקצה שיפורים ולהשלים את המסכת הראייתית שלא הוגשה בהליך הקודם תוך הבאת ראיות כנגד כל נימוק שניתן בפסק הדין באזורי או לשנות עובדות שהוצהר עליהן שם. עוד מעלה טענות כנגד אמינות עדות העדה מטעם המבקש בהליך הקודם ומביאה עדויות של ביתה וקרובת משפחה שלא הובאו בהליך הקודם על אף שהיו זמינות עבורה ובשליטתה וזאת כנגד התייחסות בית הדין בפסק דינו לעדות המשיבה כעדות יחידה. אולם אין בכך לעזור לה.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החלטת בית הדין הרבני ונסיבות קבלתה אינן ידועות לנו. במשרד הפנים מעמדה האישי של המשיבה שונה ב </w:t>
      </w:r>
      <w:r>
        <w:rPr>
          <w:rFonts w:ascii="David" w:hAnsi="David"/>
          <w:sz w:val="28"/>
          <w:szCs w:val="28"/>
        </w:rPr>
        <w:t>XXX</w:t>
      </w:r>
      <w:r>
        <w:rPr>
          <w:rFonts w:ascii="David" w:hAnsi="David"/>
          <w:sz w:val="28"/>
          <w:szCs w:val="28"/>
          <w:rtl/>
        </w:rPr>
        <w:t xml:space="preserve">, זמן רב לפני מתן החלטת בית הדין הרבני. בנסיבות אלו, קביעת בית הדין הרבני ב </w:t>
      </w:r>
      <w:r>
        <w:rPr>
          <w:rFonts w:ascii="David" w:hAnsi="David"/>
          <w:sz w:val="28"/>
          <w:szCs w:val="28"/>
        </w:rPr>
        <w:t>XXX</w:t>
      </w:r>
      <w:r>
        <w:rPr>
          <w:rFonts w:ascii="David" w:hAnsi="David"/>
          <w:sz w:val="28"/>
          <w:szCs w:val="28"/>
          <w:rtl/>
        </w:rPr>
        <w:t>, כי המשיבה הייתה נשואה למנוח והיא אלמנתו, אינה משנה לעניין זכאות המשיבה שעה שיש פסקי דין חלוטים לפיהם המשיבה אינה בת זוגו של המנוח, לא גרה עימו ואינה זכאית לגמלת שאירים, כשברור כעת שלא הייתה שום מניעה כפי שטענה המשיבה בהליך הקודם, לקבל פסק דין רבני לגבי תוקף נישואיה אף בחיי המנוח ושינוי רישומי מעמדה במשרד הפנים מאישה רווקה לאישה נשואה. אולם המשיבה בחרה לא לפעול כאמור מסיבותיה.</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lastRenderedPageBreak/>
        <w:t xml:space="preserve">מקצה שיפורים של התשתית הראייתית, בין היתר הגשת ראיות שהיו ברשות המשיבה וראיות אחרות שניתן היה להשיג ולהניח לפני המבקש ובית הדין בהליך הקודם ללא כל מניעה, אינם עילה לפתיחת ההליך המשפטי מחדש תוך התעלמות מקביעות עובדתיות חלוטות.    </w:t>
      </w:r>
    </w:p>
    <w:p w:rsidR="001A70C2" w:rsidRDefault="001A70C2" w:rsidP="00234E5B">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המשיבה לא הסבירה מדוע פנתה למשרד הפנים לשינוי רישומה ב </w:t>
      </w:r>
      <w:r>
        <w:rPr>
          <w:rFonts w:ascii="David" w:hAnsi="David"/>
          <w:sz w:val="28"/>
          <w:szCs w:val="28"/>
        </w:rPr>
        <w:t>XXX</w:t>
      </w:r>
      <w:r>
        <w:rPr>
          <w:rFonts w:ascii="David" w:hAnsi="David"/>
          <w:sz w:val="28"/>
          <w:szCs w:val="28"/>
          <w:rtl/>
        </w:rPr>
        <w:t xml:space="preserve">. ומדוע פתחה הליך בבית הדין הרבני ב </w:t>
      </w:r>
      <w:r>
        <w:rPr>
          <w:rFonts w:ascii="David" w:hAnsi="David"/>
          <w:sz w:val="28"/>
          <w:szCs w:val="28"/>
        </w:rPr>
        <w:t>XXX</w:t>
      </w:r>
      <w:r>
        <w:rPr>
          <w:rFonts w:ascii="David" w:hAnsi="David"/>
          <w:sz w:val="28"/>
          <w:szCs w:val="28"/>
          <w:rtl/>
        </w:rPr>
        <w:t xml:space="preserve">, שנים רבות לאחר פטירת המנוח, כדי להכריז עליה שהייתה נשואה לו, מה שיכלה לעשות בחייו, בשנת </w:t>
      </w:r>
      <w:r w:rsidR="00234E5B">
        <w:rPr>
          <w:rFonts w:ascii="David" w:hAnsi="David" w:hint="cs"/>
          <w:sz w:val="28"/>
          <w:szCs w:val="28"/>
        </w:rPr>
        <w:t>XXX</w:t>
      </w:r>
      <w:r>
        <w:rPr>
          <w:rFonts w:ascii="David" w:hAnsi="David"/>
          <w:sz w:val="28"/>
          <w:szCs w:val="28"/>
          <w:rtl/>
        </w:rPr>
        <w:t xml:space="preserve"> או לכל הפחות לבקש עיכוב ההליך הקודם עד לקבלת פסק דין מהרבנות כפי שקיבלה בשנת </w:t>
      </w:r>
      <w:r>
        <w:rPr>
          <w:rFonts w:ascii="David" w:hAnsi="David"/>
          <w:sz w:val="28"/>
          <w:szCs w:val="28"/>
        </w:rPr>
        <w:t>XXX</w:t>
      </w:r>
      <w:r>
        <w:rPr>
          <w:rFonts w:ascii="David" w:hAnsi="David"/>
          <w:sz w:val="28"/>
          <w:szCs w:val="28"/>
          <w:rtl/>
        </w:rPr>
        <w:t xml:space="preserve">.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ונוסיף, ברור כי הנסיבות לעניין מהות היחסים בין המשיבה למנוח לא יכולות היו להשתנות לאחר מועד פטירתו. לא יכולות להיווצר ראיות חדשות לגבי הקשר ביניהם שהסתיים סופית עם מותו של המנוח. ההליך הקודם נוהל לאחר פטירת המנוח ונמשך שנים רבות. למעשה כל ההבדל בין ההליכים הקודמים להליך דנן, הוא בהחלטת בית הדין הרבני שאשררה את הנישואין ומעמד המשיבה כאלמנת המנוח. כפי שהוסבר לעיל, החלטה זו אינה יכולה לחייב את בית הדין בנסיבות אלו 'לפתוח' מחדש את כל המסכת העובדתית שהתבררה בהליכים הקודמים, כששאלת המגורים ביחד/ נפרדות נדונה והוכרעה.</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אשר על כן אנו מקבלים את טענת המבקש לקיומו של מעשה בית דין – השתק עילה והשתק פלוגתה. </w:t>
      </w:r>
    </w:p>
    <w:p w:rsidR="001A70C2" w:rsidRDefault="001A70C2" w:rsidP="001A70C2">
      <w:pPr>
        <w:pStyle w:val="af"/>
        <w:spacing w:before="240" w:after="240" w:line="336" w:lineRule="auto"/>
        <w:ind w:left="567" w:right="284" w:hanging="567"/>
        <w:contextualSpacing w:val="0"/>
        <w:jc w:val="both"/>
        <w:rPr>
          <w:rFonts w:ascii="David" w:hAnsi="David"/>
          <w:sz w:val="28"/>
          <w:szCs w:val="28"/>
        </w:rPr>
      </w:pPr>
      <w:r>
        <w:rPr>
          <w:rFonts w:ascii="David" w:hAnsi="David"/>
          <w:b/>
          <w:bCs/>
          <w:sz w:val="28"/>
          <w:szCs w:val="28"/>
          <w:rtl/>
        </w:rPr>
        <w:t>התיישנות:</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לאחר עיון במסמכים הגענו למסקנה כי ביום 18.07.2021, נשלחה למשיבה לכתובתה העדכנית ברחוב ברקת ראובן 25 דירה 51, חולון החלטת המבקש מיום י"ד בסיוון תשע"ד בתביעתה הקודמת. ראיה לכך תוכן המכתב, התאריך העברי שמופיע עליו ונימוקי ההחלטה הזהים להחלטה הקודמת משנת 2014. נדמה כי התאריך הגריגוריאני והכתובת תוקנו והותאמו למועד החדש לשליחת המכתב למשיבה בשנית.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משכך, צודקת המשיבה שקיימת לה זכות להגיש תביעה כנגד החלטת המבקש מיום 4.7.2021, היא התביעה מושא ההליך שבה נדחתה תביעתה החדשה של המשיבה בהתבסס על פסקי דין חלוטים בעניינה של המשיבה לגבי עילת </w:t>
      </w:r>
      <w:r>
        <w:rPr>
          <w:rFonts w:ascii="David" w:hAnsi="David"/>
          <w:sz w:val="28"/>
          <w:szCs w:val="28"/>
          <w:rtl/>
        </w:rPr>
        <w:lastRenderedPageBreak/>
        <w:t xml:space="preserve">התביעה לזכאות לגמלת שאירים מכוח מעמדה כאלמנה. לדעתנו מכתב הדחיה הראשון משנת 2014 נשלח בשנית ב- 18.07.2021 בעקבות דחיית פניית המשיבה לבדוק זכאותה כאלמנה לפי האמור במכתב מיום 04.07.2021, שבו הופנתה להחלטת המשרד הראשי ופסיקת בתי הדין.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המבקש העלה את טענת הסילוק על הסף בהתבסס על הנימוק במכתבו מיום 04.07.2021.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אשר על כן, טענת ההתיישנות לגבי שאלת בחינת הזכאות מחדש נדחית. והיא מתקבלת לגבי נימוקי דחיית התביעה הקודמת משנת 2014 כפי שנשלחה שוב ביום 18.07.2021.</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 xml:space="preserve">אשר על כן, הבקשה לסילוק התביעה על הסף מתקבלת בנימוקים השתק עילה, השתק פלוגתה והתיישנות נימוקי הדחיה שפורטו במכתבי הדחיה משנת 2014. </w:t>
      </w:r>
    </w:p>
    <w:p w:rsidR="001A70C2" w:rsidRDefault="001A70C2" w:rsidP="001A70C2">
      <w:pPr>
        <w:pStyle w:val="af"/>
        <w:numPr>
          <w:ilvl w:val="0"/>
          <w:numId w:val="2"/>
        </w:numPr>
        <w:spacing w:before="240" w:after="240" w:line="336" w:lineRule="auto"/>
        <w:ind w:left="567" w:right="284" w:hanging="567"/>
        <w:contextualSpacing w:val="0"/>
        <w:jc w:val="both"/>
        <w:rPr>
          <w:rFonts w:ascii="David" w:hAnsi="David"/>
          <w:sz w:val="28"/>
          <w:szCs w:val="28"/>
        </w:rPr>
      </w:pPr>
      <w:r>
        <w:rPr>
          <w:rFonts w:ascii="David" w:hAnsi="David"/>
          <w:sz w:val="28"/>
          <w:szCs w:val="28"/>
          <w:rtl/>
        </w:rPr>
        <w:t>התביעה נדחית. על אף שהדברים הוסברו למשיבה במעמד הדיון, ומשמדובר בהליך מן הביטחון הסוציאלי החלטנו לא ליתן צו להוצאות.</w:t>
      </w:r>
    </w:p>
    <w:p w:rsidR="009B2E28" w:rsidRDefault="009B2E28" w:rsidP="009B2E28">
      <w:pPr>
        <w:pStyle w:val="af"/>
        <w:spacing w:before="240" w:after="240" w:line="336" w:lineRule="auto"/>
        <w:ind w:left="567" w:right="284"/>
        <w:contextualSpacing w:val="0"/>
        <w:jc w:val="both"/>
        <w:rPr>
          <w:rFonts w:ascii="David" w:hAnsi="David"/>
          <w:sz w:val="28"/>
          <w:szCs w:val="28"/>
        </w:rPr>
      </w:pPr>
    </w:p>
    <w:p w:rsidR="00506DCB" w:rsidRDefault="00696B06" w:rsidP="00506DCB">
      <w:pPr>
        <w:pStyle w:val="af"/>
        <w:spacing w:before="240" w:after="240" w:line="336" w:lineRule="auto"/>
        <w:ind w:left="0" w:right="284"/>
        <w:contextualSpacing w:val="0"/>
        <w:jc w:val="both"/>
        <w:rPr>
          <w:rFonts w:ascii="David" w:hAnsi="David"/>
          <w:b/>
          <w:bCs/>
          <w:sz w:val="28"/>
          <w:szCs w:val="28"/>
          <w:rtl/>
        </w:rPr>
      </w:pPr>
      <w:r w:rsidRPr="00506DCB">
        <w:rPr>
          <w:rFonts w:ascii="David" w:hAnsi="David" w:hint="cs"/>
          <w:b/>
          <w:bCs/>
          <w:sz w:val="28"/>
          <w:szCs w:val="28"/>
          <w:rtl/>
        </w:rPr>
        <w:t>ניתן ביום</w:t>
      </w:r>
      <w:r w:rsidR="009B2E28" w:rsidRPr="00506DCB">
        <w:rPr>
          <w:rFonts w:ascii="David" w:hAnsi="David" w:hint="cs"/>
          <w:b/>
          <w:bCs/>
          <w:sz w:val="28"/>
          <w:szCs w:val="28"/>
          <w:rtl/>
        </w:rPr>
        <w:t xml:space="preserve"> כ"ד אייר תשפ"ג (</w:t>
      </w:r>
      <w:r w:rsidRPr="00506DCB">
        <w:rPr>
          <w:rFonts w:ascii="David" w:hAnsi="David" w:hint="cs"/>
          <w:b/>
          <w:bCs/>
          <w:sz w:val="28"/>
          <w:szCs w:val="28"/>
          <w:rtl/>
        </w:rPr>
        <w:t>15 מאי 2023</w:t>
      </w:r>
      <w:r w:rsidR="00506DCB" w:rsidRPr="00506DCB">
        <w:rPr>
          <w:rFonts w:ascii="David" w:hAnsi="David" w:hint="cs"/>
          <w:b/>
          <w:bCs/>
          <w:sz w:val="28"/>
          <w:szCs w:val="28"/>
          <w:rtl/>
        </w:rPr>
        <w:t>)</w:t>
      </w:r>
      <w:r w:rsidR="009B2E28" w:rsidRPr="00506DCB">
        <w:rPr>
          <w:rFonts w:ascii="David" w:hAnsi="David" w:hint="cs"/>
          <w:b/>
          <w:bCs/>
          <w:sz w:val="28"/>
          <w:szCs w:val="28"/>
          <w:rtl/>
        </w:rPr>
        <w:t xml:space="preserve"> בהעדר הצדדים</w:t>
      </w:r>
      <w:r w:rsidR="00506DCB">
        <w:rPr>
          <w:rFonts w:ascii="David" w:hAnsi="David" w:hint="cs"/>
          <w:b/>
          <w:bCs/>
          <w:sz w:val="28"/>
          <w:szCs w:val="28"/>
          <w:rtl/>
        </w:rPr>
        <w:t xml:space="preserve"> ויישלח אליהם.</w:t>
      </w:r>
    </w:p>
    <w:p w:rsidR="00B37A4D" w:rsidRPr="00506DCB" w:rsidRDefault="00696B06" w:rsidP="00506DCB">
      <w:pPr>
        <w:pStyle w:val="af"/>
        <w:spacing w:before="240" w:after="240" w:line="336" w:lineRule="auto"/>
        <w:ind w:left="0" w:right="284"/>
        <w:contextualSpacing w:val="0"/>
        <w:jc w:val="both"/>
        <w:rPr>
          <w:rFonts w:ascii="Arial" w:hAnsi="Arial"/>
          <w:b/>
          <w:bCs/>
          <w:sz w:val="28"/>
          <w:szCs w:val="28"/>
          <w:rtl/>
        </w:rPr>
      </w:pPr>
      <w:r w:rsidRPr="00506DCB">
        <w:rPr>
          <w:rFonts w:ascii="David" w:hAnsi="David" w:hint="cs"/>
          <w:b/>
          <w:bCs/>
          <w:sz w:val="28"/>
          <w:szCs w:val="28"/>
          <w:rtl/>
        </w:rPr>
        <w:t xml:space="preserve"> </w:t>
      </w:r>
      <w:r w:rsidR="004A3B49" w:rsidRPr="00506DCB">
        <w:rPr>
          <w:rFonts w:ascii="David" w:hAnsi="David" w:hint="cs"/>
          <w:b/>
          <w:bCs/>
          <w:sz w:val="28"/>
          <w:szCs w:val="28"/>
          <w:rtl/>
        </w:rPr>
        <w:t>הותר לפרסום ביום 11 יוני 2023.</w:t>
      </w:r>
    </w:p>
    <w:tbl>
      <w:tblPr>
        <w:tblStyle w:val="aa"/>
        <w:bidiVisual/>
        <w:tblW w:w="8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34"/>
        <w:gridCol w:w="333"/>
        <w:gridCol w:w="2472"/>
        <w:gridCol w:w="334"/>
        <w:gridCol w:w="2557"/>
      </w:tblGrid>
      <w:tr w:rsidR="004A3B49" w:rsidTr="00F95DAD">
        <w:trPr>
          <w:trHeight w:val="1733"/>
        </w:trPr>
        <w:tc>
          <w:tcPr>
            <w:tcW w:w="2834" w:type="dxa"/>
            <w:tcBorders>
              <w:top w:val="nil"/>
              <w:left w:val="nil"/>
              <w:bottom w:val="single" w:sz="4" w:space="0" w:color="auto"/>
              <w:right w:val="nil"/>
            </w:tcBorders>
          </w:tcPr>
          <w:p w:rsidR="004A3B49" w:rsidRDefault="004A3B49" w:rsidP="00F95DAD">
            <w:pPr>
              <w:jc w:val="right"/>
              <w:rPr>
                <w:rFonts w:cs="Times New Roman"/>
                <w:noProof w:val="0"/>
              </w:rPr>
            </w:pPr>
          </w:p>
          <w:p w:rsidR="004A3B49" w:rsidRDefault="004A3B49" w:rsidP="00F95DAD">
            <w:pPr>
              <w:jc w:val="right"/>
              <w:rPr>
                <w:rtl/>
              </w:rPr>
            </w:pPr>
          </w:p>
          <w:p w:rsidR="004A3B49" w:rsidRDefault="004A3B49" w:rsidP="00F95DAD">
            <w:pPr>
              <w:jc w:val="right"/>
            </w:pPr>
          </w:p>
          <w:p w:rsidR="004A3B49" w:rsidRDefault="004A3B49" w:rsidP="00F95DAD">
            <w:pPr>
              <w:rPr>
                <w:rtl/>
              </w:rPr>
            </w:pPr>
            <w:r>
              <w:drawing>
                <wp:inline distT="0" distB="0" distL="0" distR="0" wp14:anchorId="21E95697" wp14:editId="0FABAB53">
                  <wp:extent cx="1654175" cy="524510"/>
                  <wp:effectExtent l="0" t="0" r="3175" b="889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4175" cy="524510"/>
                          </a:xfrm>
                          <a:prstGeom prst="rect">
                            <a:avLst/>
                          </a:prstGeom>
                          <a:noFill/>
                          <a:ln>
                            <a:noFill/>
                          </a:ln>
                        </pic:spPr>
                      </pic:pic>
                    </a:graphicData>
                  </a:graphic>
                </wp:inline>
              </w:drawing>
            </w:r>
          </w:p>
          <w:p w:rsidR="004A3B49" w:rsidRDefault="004A3B49" w:rsidP="00F95DAD">
            <w:pPr>
              <w:jc w:val="center"/>
              <w:rPr>
                <w:b/>
                <w:bCs/>
                <w:rtl/>
              </w:rPr>
            </w:pPr>
          </w:p>
        </w:tc>
        <w:tc>
          <w:tcPr>
            <w:tcW w:w="333" w:type="dxa"/>
          </w:tcPr>
          <w:p w:rsidR="004A3B49" w:rsidRDefault="004A3B49" w:rsidP="00F95DAD">
            <w:pPr>
              <w:jc w:val="center"/>
              <w:rPr>
                <w:b/>
                <w:bCs/>
                <w:rtl/>
              </w:rPr>
            </w:pPr>
          </w:p>
        </w:tc>
        <w:tc>
          <w:tcPr>
            <w:tcW w:w="2472" w:type="dxa"/>
            <w:tcBorders>
              <w:top w:val="nil"/>
              <w:left w:val="nil"/>
              <w:bottom w:val="single" w:sz="4" w:space="0" w:color="auto"/>
              <w:right w:val="nil"/>
            </w:tcBorders>
          </w:tcPr>
          <w:p w:rsidR="004A3B49" w:rsidRDefault="004A3B49" w:rsidP="00F95DAD">
            <w:pPr>
              <w:jc w:val="center"/>
              <w:rPr>
                <w:b/>
                <w:bCs/>
              </w:rPr>
            </w:pPr>
          </w:p>
          <w:p w:rsidR="004A3B49" w:rsidRDefault="004A3B49" w:rsidP="00F95DAD">
            <w:pPr>
              <w:jc w:val="center"/>
              <w:rPr>
                <w:b/>
                <w:bCs/>
                <w:rtl/>
              </w:rPr>
            </w:pPr>
          </w:p>
          <w:p w:rsidR="004A3B49" w:rsidRDefault="004A3B49" w:rsidP="00F95DAD">
            <w:pPr>
              <w:jc w:val="center"/>
              <w:rPr>
                <w:b/>
                <w:bCs/>
                <w:rtl/>
              </w:rPr>
            </w:pPr>
            <w:r>
              <w:drawing>
                <wp:inline distT="0" distB="0" distL="0" distR="0" wp14:anchorId="47D83D6C" wp14:editId="4DB92526">
                  <wp:extent cx="1288415" cy="763270"/>
                  <wp:effectExtent l="0" t="0" r="698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63270"/>
                          </a:xfrm>
                          <a:prstGeom prst="rect">
                            <a:avLst/>
                          </a:prstGeom>
                          <a:noFill/>
                          <a:ln>
                            <a:noFill/>
                          </a:ln>
                        </pic:spPr>
                      </pic:pic>
                    </a:graphicData>
                  </a:graphic>
                </wp:inline>
              </w:drawing>
            </w:r>
          </w:p>
        </w:tc>
        <w:tc>
          <w:tcPr>
            <w:tcW w:w="334" w:type="dxa"/>
          </w:tcPr>
          <w:p w:rsidR="004A3B49" w:rsidRDefault="004A3B49" w:rsidP="00F95DAD">
            <w:pPr>
              <w:jc w:val="center"/>
              <w:rPr>
                <w:b/>
                <w:bCs/>
                <w:u w:val="single"/>
                <w:rtl/>
              </w:rPr>
            </w:pPr>
          </w:p>
        </w:tc>
        <w:tc>
          <w:tcPr>
            <w:tcW w:w="2557" w:type="dxa"/>
            <w:tcBorders>
              <w:top w:val="nil"/>
              <w:left w:val="nil"/>
              <w:bottom w:val="single" w:sz="4" w:space="0" w:color="auto"/>
              <w:right w:val="nil"/>
            </w:tcBorders>
          </w:tcPr>
          <w:p w:rsidR="004A3B49" w:rsidRDefault="004A3B49" w:rsidP="00F95DAD">
            <w:pPr>
              <w:rPr>
                <w:rFonts w:cs="Times New Roman"/>
                <w:rtl/>
              </w:rPr>
            </w:pPr>
            <w:r>
              <w:drawing>
                <wp:inline distT="0" distB="0" distL="0" distR="0" wp14:anchorId="52D2FAEB" wp14:editId="02F0FA97">
                  <wp:extent cx="1264285" cy="1160780"/>
                  <wp:effectExtent l="0" t="0" r="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4285" cy="1160780"/>
                          </a:xfrm>
                          <a:prstGeom prst="rect">
                            <a:avLst/>
                          </a:prstGeom>
                          <a:noFill/>
                          <a:ln>
                            <a:noFill/>
                          </a:ln>
                        </pic:spPr>
                      </pic:pic>
                    </a:graphicData>
                  </a:graphic>
                </wp:inline>
              </w:drawing>
            </w:r>
          </w:p>
          <w:p w:rsidR="004A3B49" w:rsidRDefault="004A3B49" w:rsidP="00F95DAD">
            <w:pPr>
              <w:jc w:val="center"/>
              <w:rPr>
                <w:b/>
                <w:bCs/>
                <w:u w:val="single"/>
                <w:rtl/>
              </w:rPr>
            </w:pPr>
          </w:p>
        </w:tc>
      </w:tr>
      <w:tr w:rsidR="004A3B49" w:rsidTr="00F95DAD">
        <w:trPr>
          <w:trHeight w:val="398"/>
        </w:trPr>
        <w:tc>
          <w:tcPr>
            <w:tcW w:w="2834" w:type="dxa"/>
            <w:tcBorders>
              <w:top w:val="single" w:sz="4" w:space="0" w:color="auto"/>
              <w:left w:val="nil"/>
              <w:bottom w:val="nil"/>
              <w:right w:val="nil"/>
            </w:tcBorders>
            <w:hideMark/>
          </w:tcPr>
          <w:p w:rsidR="004A3B49" w:rsidRDefault="004A3B49" w:rsidP="00F95DAD">
            <w:pPr>
              <w:jc w:val="center"/>
              <w:rPr>
                <w:b/>
                <w:bCs/>
                <w:rtl/>
              </w:rPr>
            </w:pPr>
            <w:r>
              <w:rPr>
                <w:b/>
                <w:bCs/>
                <w:rtl/>
              </w:rPr>
              <w:t xml:space="preserve">גב' סיגל רונן-כץ, </w:t>
            </w:r>
          </w:p>
          <w:p w:rsidR="004A3B49" w:rsidRDefault="004A3B49" w:rsidP="00F95DAD">
            <w:pPr>
              <w:jc w:val="center"/>
              <w:rPr>
                <w:b/>
                <w:bCs/>
              </w:rPr>
            </w:pPr>
            <w:r>
              <w:rPr>
                <w:b/>
                <w:bCs/>
                <w:rtl/>
              </w:rPr>
              <w:t>נציגת ציבור עובדים</w:t>
            </w:r>
          </w:p>
        </w:tc>
        <w:tc>
          <w:tcPr>
            <w:tcW w:w="333" w:type="dxa"/>
          </w:tcPr>
          <w:p w:rsidR="004A3B49" w:rsidRDefault="004A3B49" w:rsidP="00F95DAD">
            <w:pPr>
              <w:jc w:val="center"/>
              <w:rPr>
                <w:b/>
                <w:bCs/>
                <w:rtl/>
              </w:rPr>
            </w:pPr>
          </w:p>
        </w:tc>
        <w:tc>
          <w:tcPr>
            <w:tcW w:w="2472" w:type="dxa"/>
            <w:tcBorders>
              <w:top w:val="single" w:sz="4" w:space="0" w:color="auto"/>
              <w:left w:val="nil"/>
              <w:bottom w:val="nil"/>
              <w:right w:val="nil"/>
            </w:tcBorders>
            <w:hideMark/>
          </w:tcPr>
          <w:p w:rsidR="004A3B49" w:rsidRDefault="00AA63B1" w:rsidP="00F95DAD">
            <w:pPr>
              <w:jc w:val="center"/>
              <w:rPr>
                <w:b/>
                <w:bCs/>
                <w:rtl/>
              </w:rPr>
            </w:pPr>
            <w:sdt>
              <w:sdtPr>
                <w:rPr>
                  <w:b/>
                  <w:bCs/>
                  <w:rtl/>
                </w:rPr>
                <w:alias w:val="2141"/>
                <w:tag w:val="2141"/>
                <w:id w:val="2119712613"/>
                <w:placeholder>
                  <w:docPart w:val="1A22CC43A1474FD180C5A05906F85937"/>
                </w:placeholder>
                <w:text w:multiLine="1"/>
              </w:sdtPr>
              <w:sdtEndPr/>
              <w:sdtContent>
                <w:r w:rsidR="004A3B49">
                  <w:rPr>
                    <w:b/>
                    <w:bCs/>
                    <w:rtl/>
                  </w:rPr>
                  <w:t>סאוסן</w:t>
                </w:r>
              </w:sdtContent>
            </w:sdt>
            <w:r w:rsidR="004A3B49">
              <w:rPr>
                <w:b/>
                <w:bCs/>
                <w:rtl/>
              </w:rPr>
              <w:t xml:space="preserve"> </w:t>
            </w:r>
            <w:sdt>
              <w:sdtPr>
                <w:rPr>
                  <w:rFonts w:cs="Times New Roman" w:hint="cs"/>
                  <w:b/>
                  <w:bCs/>
                  <w:rtl/>
                </w:rPr>
                <w:alias w:val="2142"/>
                <w:tag w:val="2142"/>
                <w:id w:val="-26639521"/>
                <w:placeholder>
                  <w:docPart w:val="6ED115155B3049B29BCE2AEA8212DDFE"/>
                </w:placeholder>
                <w:text w:multiLine="1"/>
              </w:sdtPr>
              <w:sdtEndPr/>
              <w:sdtContent>
                <w:r w:rsidR="004A3B49">
                  <w:rPr>
                    <w:b/>
                    <w:bCs/>
                    <w:rtl/>
                  </w:rPr>
                  <w:t>אלקאסם</w:t>
                </w:r>
              </w:sdtContent>
            </w:sdt>
            <w:r w:rsidR="004A3B49">
              <w:rPr>
                <w:b/>
                <w:bCs/>
                <w:rtl/>
              </w:rPr>
              <w:t xml:space="preserve">, </w:t>
            </w:r>
            <w:sdt>
              <w:sdtPr>
                <w:rPr>
                  <w:rFonts w:cs="Times New Roman" w:hint="cs"/>
                  <w:b/>
                  <w:bCs/>
                  <w:rtl/>
                </w:rPr>
                <w:alias w:val="2143"/>
                <w:tag w:val="2143"/>
                <w:id w:val="1647695366"/>
                <w:placeholder>
                  <w:docPart w:val="B8A7D5024F1940B983A9EF4EF6F1BBC4"/>
                </w:placeholder>
                <w:text w:multiLine="1"/>
              </w:sdtPr>
              <w:sdtEndPr/>
              <w:sdtContent>
                <w:r w:rsidR="004A3B49">
                  <w:rPr>
                    <w:b/>
                    <w:bCs/>
                    <w:rtl/>
                  </w:rPr>
                  <w:br/>
                  <w:t>שופטת</w:t>
                </w:r>
              </w:sdtContent>
            </w:sdt>
          </w:p>
        </w:tc>
        <w:tc>
          <w:tcPr>
            <w:tcW w:w="334" w:type="dxa"/>
          </w:tcPr>
          <w:p w:rsidR="004A3B49" w:rsidRDefault="004A3B49" w:rsidP="00F95DAD">
            <w:pPr>
              <w:jc w:val="center"/>
              <w:rPr>
                <w:b/>
                <w:bCs/>
                <w:u w:val="single"/>
                <w:rtl/>
              </w:rPr>
            </w:pPr>
          </w:p>
        </w:tc>
        <w:tc>
          <w:tcPr>
            <w:tcW w:w="2557" w:type="dxa"/>
            <w:tcBorders>
              <w:top w:val="single" w:sz="4" w:space="0" w:color="auto"/>
              <w:left w:val="nil"/>
              <w:bottom w:val="nil"/>
              <w:right w:val="nil"/>
            </w:tcBorders>
            <w:hideMark/>
          </w:tcPr>
          <w:p w:rsidR="004A3B49" w:rsidRDefault="004A3B49" w:rsidP="00F95DAD">
            <w:pPr>
              <w:jc w:val="center"/>
              <w:rPr>
                <w:b/>
                <w:bCs/>
                <w:rtl/>
              </w:rPr>
            </w:pPr>
            <w:r>
              <w:rPr>
                <w:b/>
                <w:bCs/>
                <w:rtl/>
              </w:rPr>
              <w:t xml:space="preserve">מר אילן טל, </w:t>
            </w:r>
          </w:p>
          <w:p w:rsidR="004A3B49" w:rsidRDefault="004A3B49" w:rsidP="00F95DAD">
            <w:pPr>
              <w:jc w:val="center"/>
              <w:rPr>
                <w:b/>
                <w:bCs/>
                <w:rtl/>
              </w:rPr>
            </w:pPr>
            <w:r>
              <w:rPr>
                <w:b/>
                <w:bCs/>
                <w:rtl/>
              </w:rPr>
              <w:t>נציג ציבור מעסיקים</w:t>
            </w:r>
          </w:p>
        </w:tc>
      </w:tr>
    </w:tbl>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3B1" w:rsidRDefault="00AA63B1">
      <w:r>
        <w:separator/>
      </w:r>
    </w:p>
  </w:endnote>
  <w:endnote w:type="continuationSeparator" w:id="0">
    <w:p w:rsidR="00AA63B1" w:rsidRDefault="00AA6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7F" w:rsidRDefault="007E287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7C4F95">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8E4F67">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8E4F67">
      <w:rPr>
        <w:rStyle w:val="ac"/>
        <w:rtl/>
      </w:rPr>
      <w:t>14</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7F" w:rsidRDefault="007E287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3B1" w:rsidRDefault="00AA63B1">
      <w:r>
        <w:separator/>
      </w:r>
    </w:p>
  </w:footnote>
  <w:footnote w:type="continuationSeparator" w:id="0">
    <w:p w:rsidR="00AA63B1" w:rsidRDefault="00AA63B1">
      <w:r>
        <w:continuationSeparator/>
      </w:r>
    </w:p>
  </w:footnote>
  <w:footnote w:id="1">
    <w:p w:rsidR="001A70C2" w:rsidRDefault="001A70C2" w:rsidP="001A70C2">
      <w:pPr>
        <w:pStyle w:val="ad"/>
        <w:rPr>
          <w:rFonts w:ascii="David" w:hAnsi="David"/>
          <w:rtl/>
        </w:rPr>
      </w:pPr>
      <w:r>
        <w:rPr>
          <w:rStyle w:val="af0"/>
          <w:rFonts w:ascii="David" w:hAnsi="David"/>
        </w:rPr>
        <w:footnoteRef/>
      </w:r>
      <w:r>
        <w:rPr>
          <w:rFonts w:ascii="David" w:hAnsi="David"/>
          <w:rtl/>
        </w:rPr>
        <w:t xml:space="preserve"> א' גורן "סוגיות בסדר דין אזרחי" מהדורה שנים עשר, עמ' 199 (להלן: "</w:t>
      </w:r>
      <w:r>
        <w:rPr>
          <w:rFonts w:ascii="David" w:hAnsi="David"/>
          <w:b/>
          <w:bCs/>
          <w:rtl/>
        </w:rPr>
        <w:t>גורן</w:t>
      </w:r>
      <w:r>
        <w:rPr>
          <w:rFonts w:ascii="David" w:hAnsi="David"/>
          <w:rtl/>
        </w:rPr>
        <w:t>")</w:t>
      </w:r>
    </w:p>
  </w:footnote>
  <w:footnote w:id="2">
    <w:p w:rsidR="001A70C2" w:rsidRDefault="001A70C2" w:rsidP="001A70C2">
      <w:pPr>
        <w:pStyle w:val="ad"/>
        <w:rPr>
          <w:rFonts w:ascii="David" w:hAnsi="David"/>
          <w:rtl/>
        </w:rPr>
      </w:pPr>
      <w:r>
        <w:rPr>
          <w:rStyle w:val="af0"/>
          <w:rFonts w:ascii="David" w:hAnsi="David"/>
        </w:rPr>
        <w:footnoteRef/>
      </w:r>
      <w:r>
        <w:rPr>
          <w:rFonts w:ascii="David" w:hAnsi="David"/>
          <w:rtl/>
        </w:rPr>
        <w:t xml:space="preserve"> עב"ל (ארצי) 765/07</w:t>
      </w:r>
      <w:r>
        <w:rPr>
          <w:rFonts w:ascii="David" w:hAnsi="David"/>
          <w:color w:val="000000"/>
          <w:rtl/>
        </w:rPr>
        <w:t xml:space="preserve"> </w:t>
      </w:r>
      <w:r>
        <w:rPr>
          <w:rFonts w:ascii="David" w:hAnsi="David"/>
          <w:b/>
          <w:bCs/>
          <w:color w:val="000000"/>
          <w:rtl/>
        </w:rPr>
        <w:t>עווני אבו הדואן - המוסד לביטוח לאומי</w:t>
      </w:r>
      <w:r>
        <w:rPr>
          <w:rFonts w:ascii="David" w:hAnsi="David"/>
          <w:color w:val="000000"/>
          <w:rtl/>
        </w:rPr>
        <w:t xml:space="preserve"> (4.9.2008)</w:t>
      </w:r>
    </w:p>
  </w:footnote>
  <w:footnote w:id="3">
    <w:p w:rsidR="001A70C2" w:rsidRDefault="001A70C2" w:rsidP="001A70C2">
      <w:pPr>
        <w:jc w:val="both"/>
        <w:rPr>
          <w:rFonts w:ascii="David" w:hAnsi="David"/>
          <w:sz w:val="20"/>
          <w:szCs w:val="20"/>
          <w:rtl/>
        </w:rPr>
      </w:pPr>
      <w:r>
        <w:rPr>
          <w:rStyle w:val="af0"/>
          <w:rFonts w:ascii="David" w:hAnsi="David"/>
          <w:sz w:val="20"/>
          <w:szCs w:val="20"/>
        </w:rPr>
        <w:footnoteRef/>
      </w:r>
      <w:r>
        <w:rPr>
          <w:rFonts w:ascii="David" w:hAnsi="David"/>
          <w:sz w:val="20"/>
          <w:szCs w:val="20"/>
          <w:rtl/>
        </w:rPr>
        <w:t xml:space="preserve"> ע"א 4576/17 </w:t>
      </w:r>
      <w:r>
        <w:rPr>
          <w:rFonts w:ascii="David" w:hAnsi="David"/>
          <w:b/>
          <w:bCs/>
          <w:sz w:val="20"/>
          <w:szCs w:val="20"/>
        </w:rPr>
        <w:t xml:space="preserve">Air Via OOD </w:t>
      </w:r>
      <w:r>
        <w:rPr>
          <w:rFonts w:ascii="David" w:hAnsi="David"/>
          <w:b/>
          <w:bCs/>
          <w:sz w:val="20"/>
          <w:szCs w:val="20"/>
          <w:rtl/>
        </w:rPr>
        <w:t xml:space="preserve"> נ' השטיח המעופף בע"מ</w:t>
      </w:r>
      <w:r>
        <w:rPr>
          <w:rFonts w:ascii="David" w:hAnsi="David"/>
          <w:sz w:val="20"/>
          <w:szCs w:val="20"/>
          <w:rtl/>
        </w:rPr>
        <w:t>, פסקה 19 לחוות דעתו של השופט ע' גרוסקופף (18.12.2018).</w:t>
      </w:r>
    </w:p>
  </w:footnote>
  <w:footnote w:id="4">
    <w:p w:rsidR="001A70C2" w:rsidRDefault="001A70C2" w:rsidP="001A70C2">
      <w:pPr>
        <w:pStyle w:val="ad"/>
        <w:rPr>
          <w:rFonts w:ascii="David" w:hAnsi="David"/>
        </w:rPr>
      </w:pPr>
      <w:r>
        <w:rPr>
          <w:rStyle w:val="af0"/>
          <w:rFonts w:ascii="David" w:hAnsi="David"/>
        </w:rPr>
        <w:footnoteRef/>
      </w:r>
      <w:r>
        <w:rPr>
          <w:rFonts w:ascii="David" w:hAnsi="David"/>
          <w:rtl/>
        </w:rPr>
        <w:t xml:space="preserve"> ע"ע (ארצי) 33143-09-13 </w:t>
      </w:r>
      <w:r>
        <w:rPr>
          <w:rFonts w:ascii="David" w:hAnsi="David"/>
          <w:b/>
          <w:bCs/>
          <w:rtl/>
        </w:rPr>
        <w:t xml:space="preserve">ביתן - אוניברסיטת בן גוריון </w:t>
      </w:r>
      <w:r>
        <w:rPr>
          <w:rFonts w:ascii="David" w:hAnsi="David"/>
          <w:rtl/>
        </w:rPr>
        <w:t>(2.1.17) (פ' 11) – (להלן: "</w:t>
      </w:r>
      <w:r>
        <w:rPr>
          <w:rFonts w:ascii="David" w:hAnsi="David"/>
          <w:b/>
          <w:bCs/>
          <w:rtl/>
        </w:rPr>
        <w:t>עניין ביתן</w:t>
      </w:r>
      <w:r>
        <w:rPr>
          <w:rFonts w:ascii="David" w:hAnsi="David"/>
          <w:rtl/>
        </w:rPr>
        <w:t>")</w:t>
      </w:r>
    </w:p>
  </w:footnote>
  <w:footnote w:id="5">
    <w:p w:rsidR="001A70C2" w:rsidRDefault="001A70C2" w:rsidP="001A70C2">
      <w:pPr>
        <w:pStyle w:val="ad"/>
        <w:rPr>
          <w:rFonts w:ascii="David" w:hAnsi="David"/>
        </w:rPr>
      </w:pPr>
      <w:r>
        <w:rPr>
          <w:rStyle w:val="af0"/>
          <w:rFonts w:ascii="David" w:hAnsi="David"/>
        </w:rPr>
        <w:footnoteRef/>
      </w:r>
      <w:r>
        <w:rPr>
          <w:rFonts w:ascii="David" w:hAnsi="David"/>
          <w:rtl/>
        </w:rPr>
        <w:t xml:space="preserve"> ראו גורן, עמ' 199 ,ה"ש 1. וכן </w:t>
      </w:r>
      <w:r>
        <w:rPr>
          <w:rFonts w:ascii="David" w:hAnsi="David"/>
          <w:color w:val="000000"/>
          <w:rtl/>
        </w:rPr>
        <w:t>דב"ע נד/3-227</w:t>
      </w:r>
      <w:r>
        <w:rPr>
          <w:rFonts w:ascii="David" w:hAnsi="David"/>
          <w:b/>
          <w:bCs/>
          <w:rtl/>
        </w:rPr>
        <w:t xml:space="preserve"> דורית מרגי – אוניברסיטת בן גוריון</w:t>
      </w:r>
      <w:r>
        <w:rPr>
          <w:rFonts w:ascii="David" w:hAnsi="David"/>
          <w:rtl/>
        </w:rPr>
        <w:t xml:space="preserve">, פד"ע כח 403, 409 (1995); עוד ראו 36984-09-15 </w:t>
      </w:r>
      <w:r>
        <w:rPr>
          <w:rFonts w:ascii="David" w:hAnsi="David"/>
          <w:b/>
          <w:bCs/>
          <w:rtl/>
        </w:rPr>
        <w:t xml:space="preserve">דוידסקו – מדינת ישראל </w:t>
      </w:r>
      <w:r>
        <w:rPr>
          <w:rFonts w:ascii="David" w:hAnsi="David"/>
          <w:rtl/>
        </w:rPr>
        <w:t>(27.3.17)</w:t>
      </w:r>
    </w:p>
  </w:footnote>
  <w:footnote w:id="6">
    <w:p w:rsidR="001A70C2" w:rsidRDefault="001A70C2" w:rsidP="001A70C2">
      <w:pPr>
        <w:pStyle w:val="ad"/>
        <w:rPr>
          <w:rFonts w:ascii="David" w:hAnsi="David"/>
        </w:rPr>
      </w:pPr>
      <w:r>
        <w:rPr>
          <w:rStyle w:val="af0"/>
          <w:rFonts w:ascii="David" w:hAnsi="David"/>
        </w:rPr>
        <w:footnoteRef/>
      </w:r>
      <w:r>
        <w:rPr>
          <w:rFonts w:ascii="David" w:hAnsi="David"/>
          <w:rtl/>
        </w:rPr>
        <w:t xml:space="preserve"> </w:t>
      </w:r>
      <w:r>
        <w:rPr>
          <w:rFonts w:ascii="David" w:hAnsi="David" w:hint="cs"/>
          <w:rtl/>
        </w:rPr>
        <w:t xml:space="preserve">ע"ע 1521/04 </w:t>
      </w:r>
      <w:r>
        <w:rPr>
          <w:rFonts w:ascii="David" w:hAnsi="David" w:hint="cs"/>
          <w:b/>
          <w:bCs/>
          <w:rtl/>
        </w:rPr>
        <w:t>עמיר רונן – כלל (ישראל) בע"מ</w:t>
      </w:r>
      <w:r>
        <w:rPr>
          <w:rFonts w:ascii="David" w:hAnsi="David" w:hint="cs"/>
          <w:rtl/>
        </w:rPr>
        <w:t xml:space="preserve"> (4.4.06)</w:t>
      </w:r>
    </w:p>
  </w:footnote>
  <w:footnote w:id="7">
    <w:p w:rsidR="001A70C2" w:rsidRDefault="001A70C2" w:rsidP="001A70C2">
      <w:pPr>
        <w:pStyle w:val="ruller4"/>
        <w:spacing w:line="240" w:lineRule="auto"/>
        <w:rPr>
          <w:rFonts w:ascii="David" w:hAnsi="David" w:cs="David"/>
          <w:sz w:val="20"/>
          <w:szCs w:val="20"/>
          <w:rtl/>
        </w:rPr>
      </w:pPr>
      <w:r>
        <w:rPr>
          <w:rStyle w:val="af0"/>
          <w:rFonts w:ascii="David" w:hAnsi="David" w:cs="David"/>
          <w:sz w:val="20"/>
          <w:szCs w:val="20"/>
        </w:rPr>
        <w:footnoteRef/>
      </w:r>
      <w:r>
        <w:rPr>
          <w:rFonts w:ascii="David" w:hAnsi="David" w:cs="David"/>
          <w:sz w:val="20"/>
          <w:szCs w:val="20"/>
          <w:rtl/>
        </w:rPr>
        <w:t xml:space="preserve"> </w:t>
      </w:r>
      <w:r>
        <w:rPr>
          <w:rFonts w:ascii="David" w:hAnsi="David" w:cs="David" w:hint="cs"/>
          <w:sz w:val="20"/>
          <w:szCs w:val="20"/>
          <w:rtl/>
        </w:rPr>
        <w:t>ראו עניין ביתן, ה"ש 4 .</w:t>
      </w:r>
    </w:p>
    <w:p w:rsidR="001A70C2" w:rsidRDefault="001A70C2" w:rsidP="001A70C2">
      <w:pPr>
        <w:pStyle w:val="ad"/>
        <w:rPr>
          <w:rFonts w:ascii="David" w:hAnsi="David"/>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7F" w:rsidRDefault="007E28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121E7">
    <w:pPr>
      <w:pStyle w:val="a3"/>
      <w:jc w:val="center"/>
      <w:rPr>
        <w:rFonts w:cs="FrankRuehl"/>
        <w:noProof w:val="0"/>
        <w:sz w:val="28"/>
        <w:szCs w:val="28"/>
        <w:rtl/>
      </w:rPr>
    </w:pPr>
    <w:r>
      <w:rPr>
        <w:rFonts w:cs="FrankRuehl"/>
        <w:sz w:val="28"/>
        <w:szCs w:val="28"/>
      </w:rPr>
      <w:drawing>
        <wp:inline distT="0" distB="0" distL="0" distR="0" wp14:anchorId="430CD3A7" wp14:editId="5E208AF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9"/>
      <w:gridCol w:w="3596"/>
    </w:tblGrid>
    <w:tr w:rsidR="00694556" w:rsidTr="001439B0">
      <w:trPr>
        <w:trHeight w:hRule="exact" w:val="418"/>
        <w:jc w:val="center"/>
      </w:trPr>
      <w:sdt>
        <w:sdtPr>
          <w:rPr>
            <w:sz w:val="30"/>
            <w:szCs w:val="30"/>
            <w:rtl/>
          </w:rPr>
          <w:alias w:val="1174"/>
          <w:tag w:val="1174"/>
          <w:id w:val="-755980567"/>
          <w:text/>
        </w:sdtPr>
        <w:sdtEndPr/>
        <w:sdtContent>
          <w:tc>
            <w:tcPr>
              <w:tcW w:w="8721" w:type="dxa"/>
              <w:gridSpan w:val="2"/>
            </w:tcPr>
            <w:p w:rsidR="00694556" w:rsidRPr="00621052" w:rsidRDefault="00005C8B">
              <w:pPr>
                <w:pStyle w:val="a3"/>
                <w:jc w:val="center"/>
                <w:rPr>
                  <w:rFonts w:ascii="Tahoma" w:hAnsi="Tahoma"/>
                  <w:noProof w:val="0"/>
                  <w:color w:val="000080"/>
                  <w:sz w:val="30"/>
                  <w:szCs w:val="30"/>
                  <w:rtl/>
                </w:rPr>
              </w:pPr>
              <w:r w:rsidRPr="00621052">
                <w:rPr>
                  <w:rFonts w:ascii="Tahoma" w:hAnsi="Tahoma"/>
                  <w:b/>
                  <w:bCs/>
                  <w:noProof w:val="0"/>
                  <w:color w:val="000080"/>
                  <w:sz w:val="30"/>
                  <w:szCs w:val="30"/>
                  <w:rtl/>
                </w:rPr>
                <w:t>בית הדין האזורי לעבודה תל אביב</w:t>
              </w:r>
            </w:p>
          </w:tc>
        </w:sdtContent>
      </w:sdt>
    </w:tr>
    <w:tr w:rsidR="00694556" w:rsidRPr="001439B0" w:rsidTr="001067E3">
      <w:trPr>
        <w:trHeight w:val="959"/>
        <w:jc w:val="center"/>
      </w:trPr>
      <w:tc>
        <w:tcPr>
          <w:tcW w:w="5047" w:type="dxa"/>
        </w:tcPr>
        <w:p w:rsidR="00694556" w:rsidRDefault="00694556">
          <w:pPr>
            <w:rPr>
              <w:b/>
              <w:bCs/>
              <w:noProof w:val="0"/>
              <w:sz w:val="26"/>
              <w:szCs w:val="26"/>
              <w:rtl/>
            </w:rPr>
          </w:pPr>
        </w:p>
      </w:tc>
      <w:tc>
        <w:tcPr>
          <w:tcW w:w="3674" w:type="dxa"/>
        </w:tcPr>
        <w:p w:rsidR="00694556" w:rsidRPr="001067E3" w:rsidRDefault="00AA63B1" w:rsidP="001067E3">
          <w:pPr>
            <w:jc w:val="right"/>
            <w:rPr>
              <w:sz w:val="28"/>
              <w:szCs w:val="28"/>
              <w:rtl/>
            </w:rPr>
          </w:pPr>
          <w:sdt>
            <w:sdtPr>
              <w:rPr>
                <w:sz w:val="28"/>
                <w:szCs w:val="28"/>
                <w:rtl/>
              </w:rPr>
              <w:alias w:val="1170"/>
              <w:tag w:val="1170"/>
              <w:id w:val="1147020335"/>
              <w:text w:multiLine="1"/>
            </w:sdtPr>
            <w:sdtEndPr/>
            <w:sdtContent>
              <w:r w:rsidR="00B37A4D">
                <w:rPr>
                  <w:b/>
                  <w:bCs/>
                  <w:noProof w:val="0"/>
                  <w:sz w:val="28"/>
                  <w:szCs w:val="28"/>
                  <w:rtl/>
                </w:rPr>
                <w:t>ב"ל</w:t>
              </w:r>
            </w:sdtContent>
          </w:sdt>
          <w:r w:rsidR="00621052" w:rsidRPr="0032390E">
            <w:rPr>
              <w:b/>
              <w:bCs/>
              <w:noProof w:val="0"/>
              <w:sz w:val="28"/>
              <w:szCs w:val="28"/>
              <w:rtl/>
            </w:rPr>
            <w:t xml:space="preserve"> </w:t>
          </w:r>
          <w:sdt>
            <w:sdtPr>
              <w:rPr>
                <w:sz w:val="28"/>
                <w:szCs w:val="28"/>
                <w:rtl/>
              </w:rPr>
              <w:alias w:val="1171"/>
              <w:tag w:val="1171"/>
              <w:id w:val="2066985782"/>
              <w:text w:multiLine="1"/>
            </w:sdtPr>
            <w:sdtEndPr/>
            <w:sdtContent>
              <w:r w:rsidR="00B37A4D">
                <w:rPr>
                  <w:b/>
                  <w:bCs/>
                  <w:noProof w:val="0"/>
                  <w:sz w:val="28"/>
                  <w:szCs w:val="28"/>
                  <w:rtl/>
                </w:rPr>
                <w:t>44304-12-21</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87F" w:rsidRDefault="007E28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0F006C"/>
    <w:multiLevelType w:val="hybridMultilevel"/>
    <w:tmpl w:val="7A045B40"/>
    <w:lvl w:ilvl="0" w:tplc="EA44DDB8">
      <w:numFmt w:val="bullet"/>
      <w:lvlText w:val="-"/>
      <w:lvlJc w:val="left"/>
      <w:pPr>
        <w:ind w:left="720" w:hanging="360"/>
      </w:pPr>
      <w:rPr>
        <w:rFonts w:ascii="David" w:eastAsia="David" w:hAnsi="David"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897799E"/>
    <w:multiLevelType w:val="multilevel"/>
    <w:tmpl w:val="B8EEFABC"/>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564AB"/>
    <w:rsid w:val="00081CCD"/>
    <w:rsid w:val="001067E3"/>
    <w:rsid w:val="0014234E"/>
    <w:rsid w:val="001439B0"/>
    <w:rsid w:val="001670CE"/>
    <w:rsid w:val="001A70C2"/>
    <w:rsid w:val="001C4003"/>
    <w:rsid w:val="00234E5B"/>
    <w:rsid w:val="0025187E"/>
    <w:rsid w:val="0032390E"/>
    <w:rsid w:val="003E4A47"/>
    <w:rsid w:val="004121E7"/>
    <w:rsid w:val="004A3B49"/>
    <w:rsid w:val="004E6E3C"/>
    <w:rsid w:val="00506DCB"/>
    <w:rsid w:val="00547DB7"/>
    <w:rsid w:val="00621052"/>
    <w:rsid w:val="00622BAA"/>
    <w:rsid w:val="00670EC2"/>
    <w:rsid w:val="00671BD5"/>
    <w:rsid w:val="006805C1"/>
    <w:rsid w:val="00694556"/>
    <w:rsid w:val="00696B06"/>
    <w:rsid w:val="006C53E1"/>
    <w:rsid w:val="006E1A53"/>
    <w:rsid w:val="00721A01"/>
    <w:rsid w:val="007C4F95"/>
    <w:rsid w:val="007E287F"/>
    <w:rsid w:val="00820005"/>
    <w:rsid w:val="008A58D0"/>
    <w:rsid w:val="008E4F67"/>
    <w:rsid w:val="00903896"/>
    <w:rsid w:val="009B2E28"/>
    <w:rsid w:val="00AA63B1"/>
    <w:rsid w:val="00AB11A0"/>
    <w:rsid w:val="00B12DEC"/>
    <w:rsid w:val="00B37A4D"/>
    <w:rsid w:val="00B80CBD"/>
    <w:rsid w:val="00B843E1"/>
    <w:rsid w:val="00C2257A"/>
    <w:rsid w:val="00CD3285"/>
    <w:rsid w:val="00D23AEF"/>
    <w:rsid w:val="00D53924"/>
    <w:rsid w:val="00D569A5"/>
    <w:rsid w:val="00D56E35"/>
    <w:rsid w:val="00D574D5"/>
    <w:rsid w:val="00D96D8C"/>
    <w:rsid w:val="00DB093B"/>
    <w:rsid w:val="00E522BC"/>
    <w:rsid w:val="00E54642"/>
    <w:rsid w:val="00E616F9"/>
    <w:rsid w:val="00E97908"/>
    <w:rsid w:val="00EB1FFB"/>
    <w:rsid w:val="00ED3C65"/>
    <w:rsid w:val="00EE61B3"/>
    <w:rsid w:val="00F52DE4"/>
    <w:rsid w:val="00F642FD"/>
    <w:rsid w:val="00FE735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E1411D-5E70-40D4-9D4C-B4B274E2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semiHidden/>
    <w:unhideWhenUsed/>
    <w:rsid w:val="001A70C2"/>
    <w:rPr>
      <w:noProof w:val="0"/>
      <w:sz w:val="20"/>
      <w:szCs w:val="20"/>
    </w:rPr>
  </w:style>
  <w:style w:type="character" w:customStyle="1" w:styleId="ae">
    <w:name w:val="טקסט הערת שוליים תו"/>
    <w:basedOn w:val="a0"/>
    <w:link w:val="ad"/>
    <w:semiHidden/>
    <w:rsid w:val="001A70C2"/>
    <w:rPr>
      <w:rFonts w:cs="David"/>
    </w:rPr>
  </w:style>
  <w:style w:type="character" w:customStyle="1" w:styleId="a4">
    <w:name w:val="כותרת עליונה תו"/>
    <w:basedOn w:val="a0"/>
    <w:link w:val="a3"/>
    <w:rsid w:val="001A70C2"/>
    <w:rPr>
      <w:rFonts w:cs="David"/>
      <w:noProof/>
      <w:sz w:val="24"/>
      <w:szCs w:val="24"/>
    </w:rPr>
  </w:style>
  <w:style w:type="paragraph" w:styleId="af">
    <w:name w:val="List Paragraph"/>
    <w:basedOn w:val="a"/>
    <w:qFormat/>
    <w:rsid w:val="001A70C2"/>
    <w:pPr>
      <w:ind w:left="720"/>
      <w:contextualSpacing/>
    </w:pPr>
    <w:rPr>
      <w:noProof w:val="0"/>
    </w:rPr>
  </w:style>
  <w:style w:type="paragraph" w:customStyle="1" w:styleId="ruller4">
    <w:name w:val="ruller4"/>
    <w:basedOn w:val="a"/>
    <w:rsid w:val="001A70C2"/>
    <w:pPr>
      <w:overflowPunct w:val="0"/>
      <w:autoSpaceDE w:val="0"/>
      <w:autoSpaceDN w:val="0"/>
      <w:spacing w:line="360" w:lineRule="auto"/>
      <w:jc w:val="both"/>
    </w:pPr>
    <w:rPr>
      <w:rFonts w:ascii="Arial TUR" w:hAnsi="Arial TUR" w:cs="Arial TUR"/>
      <w:noProof w:val="0"/>
      <w:spacing w:val="10"/>
      <w:sz w:val="22"/>
      <w:szCs w:val="22"/>
    </w:rPr>
  </w:style>
  <w:style w:type="character" w:styleId="af0">
    <w:name w:val="footnote reference"/>
    <w:semiHidden/>
    <w:unhideWhenUsed/>
    <w:rsid w:val="001A7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5909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4198136D0943E19EB4ED9240314F68"/>
        <w:category>
          <w:name w:val="כללי"/>
          <w:gallery w:val="placeholder"/>
        </w:category>
        <w:types>
          <w:type w:val="bbPlcHdr"/>
        </w:types>
        <w:behaviors>
          <w:behavior w:val="content"/>
        </w:behaviors>
        <w:guid w:val="{26CDEE73-09D2-4FDA-9393-9427D9DAA73F}"/>
      </w:docPartPr>
      <w:docPartBody>
        <w:p w:rsidR="003F43EE" w:rsidRDefault="00CB0465" w:rsidP="00CB0465">
          <w:pPr>
            <w:pStyle w:val="004198136D0943E19EB4ED9240314F68"/>
          </w:pPr>
          <w:r>
            <w:rPr>
              <w:rStyle w:val="a3"/>
              <w:rtl/>
            </w:rPr>
            <w:t>לחץ כאן להזנת טקסט</w:t>
          </w:r>
          <w:r>
            <w:rPr>
              <w:rStyle w:val="a3"/>
            </w:rPr>
            <w:t>.</w:t>
          </w:r>
        </w:p>
      </w:docPartBody>
    </w:docPart>
    <w:docPart>
      <w:docPartPr>
        <w:name w:val="8055F8AC97704C93B0D638A980CC29CD"/>
        <w:category>
          <w:name w:val="כללי"/>
          <w:gallery w:val="placeholder"/>
        </w:category>
        <w:types>
          <w:type w:val="bbPlcHdr"/>
        </w:types>
        <w:behaviors>
          <w:behavior w:val="content"/>
        </w:behaviors>
        <w:guid w:val="{9916560E-E33D-4D51-8B3D-6BF250908669}"/>
      </w:docPartPr>
      <w:docPartBody>
        <w:p w:rsidR="003F43EE" w:rsidRDefault="00CB0465" w:rsidP="00CB0465">
          <w:pPr>
            <w:pStyle w:val="8055F8AC97704C93B0D638A980CC29CD"/>
          </w:pPr>
          <w:r>
            <w:rPr>
              <w:rStyle w:val="a3"/>
              <w:b/>
              <w:bCs/>
              <w:sz w:val="28"/>
              <w:szCs w:val="28"/>
              <w:rtl/>
            </w:rPr>
            <w:t>שם צד ב</w:t>
          </w:r>
        </w:p>
      </w:docPartBody>
    </w:docPart>
    <w:docPart>
      <w:docPartPr>
        <w:name w:val="1A22CC43A1474FD180C5A05906F85937"/>
        <w:category>
          <w:name w:val="כללי"/>
          <w:gallery w:val="placeholder"/>
        </w:category>
        <w:types>
          <w:type w:val="bbPlcHdr"/>
        </w:types>
        <w:behaviors>
          <w:behavior w:val="content"/>
        </w:behaviors>
        <w:guid w:val="{1701A383-5E6F-4B0E-AC97-0EC19D8B3D1E}"/>
      </w:docPartPr>
      <w:docPartBody>
        <w:p w:rsidR="00804D65" w:rsidRDefault="003F43EE" w:rsidP="003F43EE">
          <w:pPr>
            <w:pStyle w:val="1A22CC43A1474FD180C5A05906F85937"/>
          </w:pPr>
          <w:r>
            <w:rPr>
              <w:rFonts w:cs="David"/>
              <w:b/>
              <w:bCs/>
              <w:rtl/>
            </w:rPr>
            <w:t>שם פרטי חותם</w:t>
          </w:r>
        </w:p>
      </w:docPartBody>
    </w:docPart>
    <w:docPart>
      <w:docPartPr>
        <w:name w:val="6ED115155B3049B29BCE2AEA8212DDFE"/>
        <w:category>
          <w:name w:val="כללי"/>
          <w:gallery w:val="placeholder"/>
        </w:category>
        <w:types>
          <w:type w:val="bbPlcHdr"/>
        </w:types>
        <w:behaviors>
          <w:behavior w:val="content"/>
        </w:behaviors>
        <w:guid w:val="{6DB31ECF-EC18-4F26-BD0D-A41C275C7D18}"/>
      </w:docPartPr>
      <w:docPartBody>
        <w:p w:rsidR="00804D65" w:rsidRDefault="003F43EE" w:rsidP="003F43EE">
          <w:pPr>
            <w:pStyle w:val="6ED115155B3049B29BCE2AEA8212DDFE"/>
          </w:pPr>
          <w:r>
            <w:rPr>
              <w:rFonts w:cs="David"/>
              <w:b/>
              <w:bCs/>
              <w:rtl/>
            </w:rPr>
            <w:t>שם משפחה חותם</w:t>
          </w:r>
        </w:p>
      </w:docPartBody>
    </w:docPart>
    <w:docPart>
      <w:docPartPr>
        <w:name w:val="B8A7D5024F1940B983A9EF4EF6F1BBC4"/>
        <w:category>
          <w:name w:val="כללי"/>
          <w:gallery w:val="placeholder"/>
        </w:category>
        <w:types>
          <w:type w:val="bbPlcHdr"/>
        </w:types>
        <w:behaviors>
          <w:behavior w:val="content"/>
        </w:behaviors>
        <w:guid w:val="{77069F64-2F05-4916-991C-EC643420856D}"/>
      </w:docPartPr>
      <w:docPartBody>
        <w:p w:rsidR="00804D65" w:rsidRDefault="003F43EE" w:rsidP="003F43EE">
          <w:pPr>
            <w:pStyle w:val="B8A7D5024F1940B983A9EF4EF6F1BBC4"/>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465"/>
    <w:rsid w:val="003F43EE"/>
    <w:rsid w:val="005F1BE9"/>
    <w:rsid w:val="00804D65"/>
    <w:rsid w:val="00954190"/>
    <w:rsid w:val="00CB0465"/>
    <w:rsid w:val="00E9789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0465"/>
  </w:style>
  <w:style w:type="paragraph" w:customStyle="1" w:styleId="004198136D0943E19EB4ED9240314F68">
    <w:name w:val="004198136D0943E19EB4ED9240314F68"/>
    <w:rsid w:val="00CB0465"/>
    <w:pPr>
      <w:bidi/>
    </w:pPr>
  </w:style>
  <w:style w:type="paragraph" w:customStyle="1" w:styleId="8055F8AC97704C93B0D638A980CC29CD">
    <w:name w:val="8055F8AC97704C93B0D638A980CC29CD"/>
    <w:rsid w:val="00CB0465"/>
    <w:pPr>
      <w:bidi/>
    </w:pPr>
  </w:style>
  <w:style w:type="paragraph" w:customStyle="1" w:styleId="E1B46B73FC464C1E9D1C48C670899C33">
    <w:name w:val="E1B46B73FC464C1E9D1C48C670899C33"/>
    <w:rsid w:val="00CB0465"/>
    <w:pPr>
      <w:bidi/>
    </w:pPr>
  </w:style>
  <w:style w:type="paragraph" w:customStyle="1" w:styleId="F4D9705AC03C4F1887A039C818550E6D">
    <w:name w:val="F4D9705AC03C4F1887A039C818550E6D"/>
    <w:rsid w:val="00CB0465"/>
    <w:pPr>
      <w:bidi/>
    </w:pPr>
  </w:style>
  <w:style w:type="paragraph" w:customStyle="1" w:styleId="825C6C2A4D3F4843ABC8215C14783B7B">
    <w:name w:val="825C6C2A4D3F4843ABC8215C14783B7B"/>
    <w:rsid w:val="00CB0465"/>
    <w:pPr>
      <w:bidi/>
    </w:pPr>
  </w:style>
  <w:style w:type="paragraph" w:customStyle="1" w:styleId="1A22CC43A1474FD180C5A05906F85937">
    <w:name w:val="1A22CC43A1474FD180C5A05906F85937"/>
    <w:rsid w:val="003F43EE"/>
    <w:pPr>
      <w:bidi/>
    </w:pPr>
  </w:style>
  <w:style w:type="paragraph" w:customStyle="1" w:styleId="6ED115155B3049B29BCE2AEA8212DDFE">
    <w:name w:val="6ED115155B3049B29BCE2AEA8212DDFE"/>
    <w:rsid w:val="003F43EE"/>
    <w:pPr>
      <w:bidi/>
    </w:pPr>
  </w:style>
  <w:style w:type="paragraph" w:customStyle="1" w:styleId="B8A7D5024F1940B983A9EF4EF6F1BBC4">
    <w:name w:val="B8A7D5024F1940B983A9EF4EF6F1BBC4"/>
    <w:rsid w:val="003F43E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3446</Words>
  <Characters>17230</Characters>
  <Application>Microsoft Office Word</Application>
  <DocSecurity>0</DocSecurity>
  <Lines>143</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2023-06-20T11:53:00Z</dcterms:created>
  <dcterms:modified xsi:type="dcterms:W3CDTF">2023-06-20T11:53:00Z</dcterms:modified>
</cp:coreProperties>
</file>